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舜耕馆消防维保服务商招募公告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2022年6月13日15时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山东国际会展集团有限公司根据实际情况和经营管理需要，对舜耕馆消防维保单位进行招募，现诚邀资质合格的单位参与报价。</w:t>
      </w:r>
    </w:p>
    <w:p>
      <w:pPr>
        <w:keepNext w:val="0"/>
        <w:keepLines w:val="0"/>
        <w:widowControl/>
        <w:numPr>
          <w:ilvl w:val="0"/>
          <w:numId w:val="0"/>
        </w:numPr>
        <w:suppressLineNumbers w:val="0"/>
        <w:spacing w:line="360" w:lineRule="auto"/>
        <w:ind w:firstLine="562"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楷体" w:hAnsi="楷体" w:eastAsia="楷体" w:cs="楷体"/>
          <w:b/>
          <w:bCs/>
          <w:i w:val="0"/>
          <w:color w:val="000000"/>
          <w:kern w:val="0"/>
          <w:sz w:val="28"/>
          <w:szCs w:val="28"/>
          <w:u w:val="none"/>
          <w:lang w:val="en-US" w:eastAsia="zh-CN" w:bidi="ar"/>
        </w:rPr>
        <w:t>一、项目要素</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（一）项目内容：</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1、消防维保面积：约1.4万㎡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2、火灾自动报警系统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3、消防水源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4、消火栓系统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5、自动喷水灭火系统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6、防烟排烟系统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7、消防应急照明和疏散指示系统</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8、防火分隔设施 </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9、服务周期：一年（签订合同）</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（二）项目要求：</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参与报价的企业需根据本项目，制定维保计划书。</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（三）项目成本控制额：21000元</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w:t>
      </w: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1、报价为扣税价。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3、附营业执照副本及消防维保项目相关资质（复印件加盖公章）</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4、评分表内所需要提交的有关材料</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（二）提交方式</w:t>
      </w:r>
    </w:p>
    <w:p>
      <w:pPr>
        <w:pStyle w:val="2"/>
        <w:ind w:left="0" w:leftChars="0" w:firstLine="480" w:firstLineChars="200"/>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1、提交方式要求密封加盖骑缝章。</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2、参与报价单位请在公告发出后3个工作日内（6月16日15时截止）将报价单及其他附加材料（提供的所有材料需盖公章）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（注：快件外部请写明项目名称，例：电料配件及灯具报价）</w:t>
      </w:r>
    </w:p>
    <w:p>
      <w:pPr>
        <w:pStyle w:val="2"/>
        <w:ind w:left="0" w:leftChars="0"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如有疑问请联系，项目技术咨询（看现场）：0531-81255966；项目参标流程咨询：0531-81255929。</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附：综合评定评分表</w:t>
      </w:r>
      <w:bookmarkStart w:id="0" w:name="_GoBack"/>
      <w:bookmarkEnd w:id="0"/>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sz w:val="24"/>
          <w:szCs w:val="24"/>
          <w:lang w:val="en-US" w:eastAsia="zh-CN"/>
        </w:rPr>
      </w:pPr>
      <w:r>
        <w:rPr>
          <w:rFonts w:hint="eastAsia" w:ascii="仿宋_GB2312" w:hAnsi="仿宋_GB2312" w:eastAsia="仿宋_GB2312" w:cs="仿宋_GB2312"/>
          <w:sz w:val="32"/>
          <w:szCs w:val="32"/>
          <w:lang w:val="en-US" w:eastAsia="zh-CN"/>
        </w:rPr>
        <w:t>附：山东国际会展集团服务商综合评定评分表</w:t>
      </w:r>
    </w:p>
    <w:tbl>
      <w:tblPr>
        <w:tblStyle w:val="4"/>
        <w:tblpPr w:leftFromText="180" w:rightFromText="180" w:vertAnchor="text" w:horzAnchor="page" w:tblpX="682" w:tblpY="88"/>
        <w:tblOverlap w:val="never"/>
        <w:tblW w:w="10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365"/>
        <w:gridCol w:w="885"/>
        <w:gridCol w:w="7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noWrap w:val="0"/>
            <w:vAlign w:val="center"/>
          </w:tcPr>
          <w:p>
            <w:pPr>
              <w:pStyle w:val="11"/>
              <w:spacing w:before="39"/>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序号</w:t>
            </w:r>
          </w:p>
        </w:tc>
        <w:tc>
          <w:tcPr>
            <w:tcW w:w="1365" w:type="dxa"/>
            <w:noWrap w:val="0"/>
            <w:vAlign w:val="center"/>
          </w:tcPr>
          <w:p>
            <w:pPr>
              <w:pStyle w:val="11"/>
              <w:ind w:right="76"/>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评分内容</w:t>
            </w:r>
          </w:p>
        </w:tc>
        <w:tc>
          <w:tcPr>
            <w:tcW w:w="885" w:type="dxa"/>
            <w:noWrap w:val="0"/>
            <w:vAlign w:val="center"/>
          </w:tcPr>
          <w:p>
            <w:pPr>
              <w:pStyle w:val="11"/>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分值</w:t>
            </w:r>
          </w:p>
        </w:tc>
        <w:tc>
          <w:tcPr>
            <w:tcW w:w="7507" w:type="dxa"/>
            <w:noWrap w:val="0"/>
            <w:vAlign w:val="center"/>
          </w:tcPr>
          <w:p>
            <w:pPr>
              <w:pStyle w:val="11"/>
              <w:ind w:right="24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477" w:type="dxa"/>
            <w:gridSpan w:val="4"/>
            <w:noWrap w:val="0"/>
            <w:vAlign w:val="center"/>
          </w:tcPr>
          <w:p>
            <w:pPr>
              <w:pStyle w:val="11"/>
              <w:spacing w:before="108"/>
              <w:ind w:left="3153" w:right="3139"/>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价格评分（35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价格部分</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 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价格分计算方法：满足要求且报价最低的为评标基准价，其价格分为35分。其他投标人的价格分统一按照下列公式计算：投标报价得分=(评标基准价／投标报价)×价格权重（35%）×100。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047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商务评分（20分）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企业认证</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具有由国家认证认可监督管理部门批准设立的认证机构颁发并在有效期内的质量管理体系认证证书、环境管理体系认证证书、职业健康安全管理体系认证证书的，每提供一项证书3分，本项最高得6分。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注：须提供以上有效的证明资料复印件及全国认证认可信息公共服务平台查询截图并加盖投标人公章。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业绩</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投标人自2018年1月1日至本项目开标日承担的（完成或进行中）服务业绩，每提供一个合同得2分，最高得6分。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注：提供合同或中标通知书等证明文件（复印件加盖公章， 原件备查），证明文件中应能体现出合同买方、合同金额、合同签订时间、合同服务内容等；否则视为无效证明文件。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拟安排的项目主要团队成员（主要技术人员）情况</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技术员及管理人员同时具有国相关管理部门颁发的资格证书的，提供一人得2分，本项最高得8分；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提供以上人员有效证书复印件（如属于特种作业操作证的，还需提供在国家相关官方网站查询结果的截图证明）及投标截止日前连续六个月（不含投标当月）投标人为其缴纳的社保证明材料加盖投标人公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477" w:type="dxa"/>
            <w:gridSpan w:val="4"/>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技术部分（45分）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5</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服务方案</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right="97"/>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对比各投标人的服务方案（包括但不限于维护服务流程、服务标准、服务管理、服务措施、安全保障措施等方面）进行综合评价：</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服务方案完整，各项措施全面，针对性强得15分；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服务方案较完整，各项措施不够全面，针对性一般得10分；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服务方案不完整，各项措施不全面，针对性较差得5分。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6</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210" w:firstLineChars="10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应急抢修</w:t>
            </w:r>
          </w:p>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及解决措施</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 分</w:t>
            </w:r>
          </w:p>
        </w:tc>
        <w:tc>
          <w:tcPr>
            <w:tcW w:w="7507" w:type="dxa"/>
            <w:noWrap w:val="0"/>
            <w:vAlign w:val="top"/>
          </w:tcPr>
          <w:p>
            <w:pPr>
              <w:pStyle w:val="11"/>
              <w:keepNext w:val="0"/>
              <w:keepLines w:val="0"/>
              <w:pageBreakBefore w:val="0"/>
              <w:widowControl w:val="0"/>
              <w:kinsoku/>
              <w:wordWrap/>
              <w:overflowPunct/>
              <w:topLinePunct w:val="0"/>
              <w:autoSpaceDE/>
              <w:autoSpaceDN/>
              <w:bidi w:val="0"/>
              <w:adjustRightInd/>
              <w:snapToGrid/>
              <w:spacing w:line="360" w:lineRule="exact"/>
              <w:ind w:right="98"/>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投标人针对意外事故，重大接待任务，重大节假日或活动等特殊情况制定的应急抢修方案及解决措施进行综合评价： </w:t>
            </w:r>
          </w:p>
          <w:p>
            <w:pPr>
              <w:pStyle w:val="11"/>
              <w:keepNext w:val="0"/>
              <w:keepLines w:val="0"/>
              <w:pageBreakBefore w:val="0"/>
              <w:widowControl w:val="0"/>
              <w:kinsoku/>
              <w:wordWrap/>
              <w:overflowPunct/>
              <w:topLinePunct w:val="0"/>
              <w:autoSpaceDE/>
              <w:autoSpaceDN/>
              <w:bidi w:val="0"/>
              <w:adjustRightInd/>
              <w:snapToGrid/>
              <w:spacing w:line="360" w:lineRule="exact"/>
              <w:ind w:right="98"/>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制定的应急抢修方案科学合理，解决措施妥当得15分；</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制定的应急抢修方案较科学合理，解决措施较妥当得10分；</w:t>
            </w:r>
          </w:p>
          <w:p>
            <w:pPr>
              <w:pStyle w:val="11"/>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制定的应急抢修方案不够合理，解决措施欠妥当得5分。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7</w:t>
            </w:r>
          </w:p>
        </w:tc>
        <w:tc>
          <w:tcPr>
            <w:tcW w:w="13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对项目重点和难点分析及应对措施</w:t>
            </w:r>
          </w:p>
        </w:tc>
        <w:tc>
          <w:tcPr>
            <w:tcW w:w="885"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 分</w:t>
            </w:r>
          </w:p>
        </w:tc>
        <w:tc>
          <w:tcPr>
            <w:tcW w:w="750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各投标人针对本项目的理解，分析项目在实施过程中的重点、难点及其解决措施情况进行综合评价：</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对项目的重点、难点分析准确，解决措施科学合理，可操作性强，得15分；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对项目的重点、难点分析较准确，解决措施基本合理，可操作性一般，得10分；</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对项目的重点、难点分析不准确，解决措施不合理，可操作性差，得5分。</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 w:hAnsi="楷体" w:eastAsia="楷体" w:cs="楷体"/>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GYxYjYxOTA4ZWNkYmQwMzAxYjFkMTM0ODlmZGQifQ=="/>
  </w:docVars>
  <w:rsids>
    <w:rsidRoot w:val="37C97C84"/>
    <w:rsid w:val="09CC37DC"/>
    <w:rsid w:val="1D4D2D91"/>
    <w:rsid w:val="21946699"/>
    <w:rsid w:val="24374B3B"/>
    <w:rsid w:val="37C97C84"/>
    <w:rsid w:val="41FB3F5C"/>
    <w:rsid w:val="4ABA4AB8"/>
    <w:rsid w:val="4CD92C86"/>
    <w:rsid w:val="50055806"/>
    <w:rsid w:val="56F0159B"/>
    <w:rsid w:val="630A2F37"/>
    <w:rsid w:val="6B6151DD"/>
    <w:rsid w:val="7E5E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1I"/>
    <w:basedOn w:val="8"/>
    <w:qFormat/>
    <w:uiPriority w:val="0"/>
    <w:pPr>
      <w:ind w:firstLine="420"/>
    </w:pPr>
  </w:style>
  <w:style w:type="paragraph" w:customStyle="1" w:styleId="8">
    <w:name w:val="BodyText"/>
    <w:basedOn w:val="1"/>
    <w:qFormat/>
    <w:uiPriority w:val="0"/>
    <w:pPr>
      <w:spacing w:after="120"/>
    </w:pPr>
    <w:rPr>
      <w:szCs w:val="20"/>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ascii="微软雅黑" w:hAnsi="微软雅黑" w:eastAsia="微软雅黑" w:cs="微软雅黑"/>
      <w:color w:val="000000"/>
      <w:sz w:val="24"/>
      <w:szCs w:val="24"/>
      <w:u w:val="non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1785</Words>
  <Characters>1874</Characters>
  <Lines>0</Lines>
  <Paragraphs>0</Paragraphs>
  <TotalTime>0</TotalTime>
  <ScaleCrop>false</ScaleCrop>
  <LinksUpToDate>false</LinksUpToDate>
  <CharactersWithSpaces>1900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2022-03-04T08:45:00Z</dcterms:created>
  <dc:creator>山东国际会展集团</dc:creator>
  <cp:lastModifiedBy>山东国际会展集团</cp:lastModifiedBy>
  <cp:lastPrinted>2022-06-13T03:40:00Z</cp:lastPrinted>
  <dcterms:modified xsi:type="dcterms:W3CDTF">2022-06-13T06:21:11Z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111B4742F99E409FA3DA41DDC70D37E2</vt:lpwstr>
  </property>
</Properties>
</file>