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安防闸机合作服务商招募公告</w:t>
      </w:r>
    </w:p>
    <w:p>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2023年1月19日12时</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山东国际会展集团有限公司根据实际情况和经营管理需要，对安防闸机合作服务商进行招募公示，现诚邀资质合格的单位参加报价，请按相关要求进行响应。</w:t>
      </w:r>
    </w:p>
    <w:p>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sz w:val="24"/>
          <w:szCs w:val="24"/>
          <w:lang w:val="en-US" w:eastAsia="zh-CN"/>
        </w:rPr>
        <w:t>会展中心安防闸机设备的安装及维护。合作服务商负责山东国际会展中心安防闸机设备的管理及维护。</w:t>
      </w:r>
    </w:p>
    <w:p>
      <w:pPr>
        <w:keepNext w:val="0"/>
        <w:keepLines w:val="0"/>
        <w:widowControl/>
        <w:numPr>
          <w:ilvl w:val="0"/>
          <w:numId w:val="2"/>
        </w:numPr>
        <w:suppressLineNumbers w:val="0"/>
        <w:spacing w:line="360" w:lineRule="auto"/>
        <w:ind w:left="0" w:leftChars="0"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sz w:val="24"/>
          <w:szCs w:val="16"/>
        </w:rPr>
        <w:t>安全</w:t>
      </w:r>
      <w:r>
        <w:rPr>
          <w:rFonts w:hint="eastAsia" w:ascii="仿宋" w:hAnsi="仿宋" w:eastAsia="仿宋" w:cs="仿宋"/>
          <w:sz w:val="24"/>
          <w:szCs w:val="16"/>
          <w:lang w:val="en-US" w:eastAsia="zh-CN"/>
        </w:rPr>
        <w:t>方案与</w:t>
      </w:r>
      <w:r>
        <w:rPr>
          <w:rFonts w:hint="eastAsia" w:ascii="仿宋" w:hAnsi="仿宋" w:eastAsia="仿宋" w:cs="仿宋"/>
          <w:sz w:val="24"/>
          <w:szCs w:val="16"/>
        </w:rPr>
        <w:t>管理</w:t>
      </w:r>
      <w:r>
        <w:rPr>
          <w:rFonts w:hint="eastAsia" w:ascii="仿宋" w:hAnsi="仿宋" w:eastAsia="仿宋" w:cs="仿宋"/>
          <w:b w:val="0"/>
          <w:bCs w:val="0"/>
          <w:i w:val="0"/>
          <w:color w:val="000000"/>
          <w:kern w:val="0"/>
          <w:sz w:val="24"/>
          <w:szCs w:val="24"/>
          <w:u w:val="none"/>
          <w:lang w:val="en-US" w:eastAsia="zh-CN" w:bidi="ar"/>
        </w:rPr>
        <w:t>。合作服务商</w:t>
      </w:r>
      <w:r>
        <w:rPr>
          <w:rFonts w:hint="eastAsia" w:ascii="仿宋" w:hAnsi="仿宋" w:eastAsia="仿宋" w:cs="仿宋"/>
          <w:sz w:val="24"/>
          <w:szCs w:val="16"/>
        </w:rPr>
        <w:t>负责</w:t>
      </w:r>
      <w:r>
        <w:rPr>
          <w:rFonts w:hint="eastAsia" w:ascii="仿宋" w:hAnsi="仿宋" w:eastAsia="仿宋" w:cs="仿宋"/>
          <w:sz w:val="24"/>
          <w:szCs w:val="16"/>
          <w:lang w:val="en-US" w:eastAsia="zh-CN"/>
        </w:rPr>
        <w:t>本</w:t>
      </w:r>
      <w:r>
        <w:rPr>
          <w:rFonts w:hint="eastAsia" w:ascii="仿宋" w:hAnsi="仿宋" w:eastAsia="仿宋" w:cs="仿宋"/>
          <w:sz w:val="24"/>
          <w:szCs w:val="16"/>
        </w:rPr>
        <w:t>项目</w:t>
      </w:r>
      <w:r>
        <w:rPr>
          <w:rFonts w:hint="eastAsia" w:ascii="仿宋" w:hAnsi="仿宋" w:eastAsia="仿宋" w:cs="仿宋"/>
          <w:sz w:val="24"/>
          <w:szCs w:val="16"/>
          <w:lang w:val="en-US" w:eastAsia="zh-CN"/>
        </w:rPr>
        <w:t>的</w:t>
      </w:r>
      <w:r>
        <w:rPr>
          <w:rFonts w:hint="eastAsia" w:ascii="仿宋" w:hAnsi="仿宋" w:eastAsia="仿宋" w:cs="仿宋"/>
          <w:sz w:val="24"/>
          <w:szCs w:val="16"/>
        </w:rPr>
        <w:t>安全</w:t>
      </w:r>
      <w:r>
        <w:rPr>
          <w:rFonts w:hint="eastAsia" w:ascii="仿宋" w:hAnsi="仿宋" w:eastAsia="仿宋" w:cs="仿宋"/>
          <w:sz w:val="24"/>
          <w:szCs w:val="16"/>
          <w:lang w:val="en-US" w:eastAsia="zh-CN"/>
        </w:rPr>
        <w:t>方案与</w:t>
      </w:r>
      <w:r>
        <w:rPr>
          <w:rFonts w:hint="eastAsia" w:ascii="仿宋" w:hAnsi="仿宋" w:eastAsia="仿宋" w:cs="仿宋"/>
          <w:sz w:val="24"/>
          <w:szCs w:val="16"/>
        </w:rPr>
        <w:t>管理</w:t>
      </w:r>
      <w:r>
        <w:rPr>
          <w:rFonts w:hint="eastAsia" w:ascii="仿宋" w:hAnsi="仿宋" w:eastAsia="仿宋" w:cs="仿宋"/>
          <w:sz w:val="24"/>
          <w:szCs w:val="16"/>
          <w:lang w:eastAsia="zh-CN"/>
        </w:rPr>
        <w:t>、</w:t>
      </w:r>
      <w:r>
        <w:rPr>
          <w:rFonts w:hint="eastAsia" w:ascii="仿宋" w:hAnsi="仿宋" w:eastAsia="仿宋" w:cs="仿宋"/>
          <w:sz w:val="24"/>
          <w:szCs w:val="16"/>
        </w:rPr>
        <w:t>风险评估、应急处置、</w:t>
      </w:r>
      <w:r>
        <w:rPr>
          <w:rFonts w:hint="eastAsia" w:ascii="仿宋" w:hAnsi="仿宋" w:eastAsia="仿宋" w:cs="仿宋"/>
          <w:sz w:val="24"/>
          <w:szCs w:val="16"/>
          <w:lang w:val="en-US" w:eastAsia="zh-CN"/>
        </w:rPr>
        <w:t>项目</w:t>
      </w:r>
      <w:r>
        <w:rPr>
          <w:rFonts w:hint="eastAsia" w:ascii="仿宋" w:hAnsi="仿宋" w:eastAsia="仿宋" w:cs="仿宋"/>
          <w:sz w:val="24"/>
          <w:szCs w:val="16"/>
        </w:rPr>
        <w:t>培训，提供</w:t>
      </w:r>
      <w:r>
        <w:rPr>
          <w:rFonts w:hint="eastAsia" w:ascii="仿宋" w:hAnsi="仿宋" w:eastAsia="仿宋" w:cs="仿宋"/>
          <w:sz w:val="24"/>
          <w:szCs w:val="16"/>
          <w:lang w:val="en-US" w:eastAsia="zh-CN"/>
        </w:rPr>
        <w:t>项目</w:t>
      </w:r>
      <w:r>
        <w:rPr>
          <w:rFonts w:hint="eastAsia" w:ascii="仿宋" w:hAnsi="仿宋" w:eastAsia="仿宋" w:cs="仿宋"/>
          <w:sz w:val="24"/>
          <w:szCs w:val="16"/>
        </w:rPr>
        <w:t>技术与设备，协助展馆及主办进行政策咨询、与主管部门沟通协调等工作</w:t>
      </w:r>
      <w:r>
        <w:rPr>
          <w:rFonts w:hint="eastAsia" w:ascii="仿宋" w:hAnsi="仿宋" w:eastAsia="仿宋" w:cs="仿宋"/>
          <w:sz w:val="24"/>
          <w:szCs w:val="16"/>
          <w:lang w:eastAsia="zh-CN"/>
        </w:rPr>
        <w:t>。</w:t>
      </w:r>
    </w:p>
    <w:p>
      <w:pPr>
        <w:keepNext w:val="0"/>
        <w:keepLines w:val="0"/>
        <w:widowControl/>
        <w:numPr>
          <w:ilvl w:val="0"/>
          <w:numId w:val="2"/>
        </w:numPr>
        <w:suppressLineNumbers w:val="0"/>
        <w:spacing w:line="360" w:lineRule="auto"/>
        <w:ind w:left="0" w:leftChars="0" w:firstLine="480" w:firstLineChars="200"/>
        <w:jc w:val="left"/>
        <w:textAlignment w:val="center"/>
        <w:rPr>
          <w:rFonts w:hint="eastAsia" w:ascii="仿宋" w:hAnsi="仿宋" w:eastAsia="仿宋" w:cs="仿宋"/>
          <w:sz w:val="24"/>
          <w:szCs w:val="32"/>
          <w:lang w:val="en-US" w:eastAsia="zh-CN"/>
        </w:rPr>
      </w:pPr>
      <w:r>
        <w:rPr>
          <w:rFonts w:hint="eastAsia" w:ascii="仿宋" w:hAnsi="仿宋" w:eastAsia="仿宋" w:cs="仿宋"/>
          <w:b w:val="0"/>
          <w:bCs w:val="0"/>
          <w:i w:val="0"/>
          <w:color w:val="000000"/>
          <w:kern w:val="0"/>
          <w:sz w:val="24"/>
          <w:szCs w:val="24"/>
          <w:u w:val="none"/>
          <w:lang w:val="en-US" w:eastAsia="zh-CN" w:bidi="ar"/>
        </w:rPr>
        <w:t>合作期限：</w:t>
      </w:r>
      <w:r>
        <w:rPr>
          <w:rFonts w:hint="eastAsia" w:ascii="仿宋" w:hAnsi="仿宋" w:eastAsia="仿宋" w:cs="仿宋"/>
          <w:sz w:val="24"/>
          <w:szCs w:val="32"/>
          <w:lang w:val="en-US" w:eastAsia="zh-CN"/>
        </w:rPr>
        <w:t>3年期，合同一年一签，协议到期后无新规划且项目合作顺利的情况下，按程序进行续签，最多续签两次。期间因不可抗力、政府、产权方、运营方有新的开发运营规划等情况，提前3个月通知运营方解除合同，双方互不承担责任。</w:t>
      </w:r>
    </w:p>
    <w:p>
      <w:pPr>
        <w:keepNext w:val="0"/>
        <w:keepLines w:val="0"/>
        <w:widowControl/>
        <w:numPr>
          <w:ilvl w:val="0"/>
          <w:numId w:val="0"/>
        </w:numPr>
        <w:suppressLineNumbers w:val="0"/>
        <w:spacing w:line="360" w:lineRule="auto"/>
        <w:ind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（四）招商方式：综合评分。</w:t>
      </w:r>
    </w:p>
    <w:p>
      <w:pPr>
        <w:keepNext w:val="0"/>
        <w:keepLines w:val="0"/>
        <w:widowControl/>
        <w:numPr>
          <w:ilvl w:val="0"/>
          <w:numId w:val="1"/>
        </w:numPr>
        <w:suppressLineNumbers w:val="0"/>
        <w:spacing w:line="360" w:lineRule="auto"/>
        <w:ind w:left="0" w:leftChars="0" w:firstLine="482" w:firstLineChars="200"/>
        <w:jc w:val="left"/>
        <w:textAlignment w:val="center"/>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参与报价企业资质要求</w:t>
      </w:r>
    </w:p>
    <w:p>
      <w:pPr>
        <w:keepNext w:val="0"/>
        <w:keepLines w:val="0"/>
        <w:widowControl/>
        <w:numPr>
          <w:ilvl w:val="0"/>
          <w:numId w:val="3"/>
        </w:numPr>
        <w:suppressLineNumbers w:val="0"/>
        <w:spacing w:line="360" w:lineRule="auto"/>
        <w:ind w:left="0" w:leftChars="0"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参与本次项目的企业单位（包含个体户）必须是在中华人民共和国境内注册；</w:t>
      </w:r>
    </w:p>
    <w:p>
      <w:pPr>
        <w:keepNext w:val="0"/>
        <w:keepLines w:val="0"/>
        <w:widowControl/>
        <w:numPr>
          <w:ilvl w:val="0"/>
          <w:numId w:val="3"/>
        </w:numPr>
        <w:suppressLineNumbers w:val="0"/>
        <w:spacing w:line="360" w:lineRule="auto"/>
        <w:ind w:left="0" w:leftChars="0" w:firstLine="480" w:firstLineChars="200"/>
        <w:jc w:val="left"/>
        <w:textAlignment w:val="center"/>
        <w:rPr>
          <w:rFonts w:hint="eastAsia" w:ascii="仿宋" w:hAnsi="仿宋" w:eastAsia="仿宋" w:cs="仿宋"/>
          <w:sz w:val="24"/>
          <w:szCs w:val="24"/>
          <w:lang w:val="en-US" w:eastAsia="zh-CN"/>
        </w:rPr>
      </w:pPr>
      <w:r>
        <w:rPr>
          <w:rFonts w:hint="eastAsia" w:ascii="仿宋" w:hAnsi="仿宋" w:eastAsia="仿宋" w:cs="仿宋"/>
          <w:b w:val="0"/>
          <w:bCs w:val="0"/>
          <w:i w:val="0"/>
          <w:color w:val="000000"/>
          <w:kern w:val="0"/>
          <w:sz w:val="24"/>
          <w:szCs w:val="24"/>
          <w:u w:val="none"/>
          <w:lang w:val="en-US" w:eastAsia="zh-CN" w:bidi="ar"/>
        </w:rPr>
        <w:t>参与本次项目的企业单位具有良好的企业信用，以国家企业信用信息公示系统查询结果为准，查询网址：http：//www.gsxt.gov.cn/；</w:t>
      </w:r>
    </w:p>
    <w:p>
      <w:pPr>
        <w:keepNext w:val="0"/>
        <w:keepLines w:val="0"/>
        <w:widowControl/>
        <w:numPr>
          <w:ilvl w:val="0"/>
          <w:numId w:val="3"/>
        </w:numPr>
        <w:suppressLineNumbers w:val="0"/>
        <w:spacing w:line="360" w:lineRule="auto"/>
        <w:ind w:left="0" w:leftChars="0" w:firstLine="480" w:firstLineChars="20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b w:val="0"/>
          <w:bCs w:val="0"/>
          <w:i w:val="0"/>
          <w:color w:val="000000"/>
          <w:kern w:val="0"/>
          <w:sz w:val="24"/>
          <w:szCs w:val="24"/>
          <w:u w:val="none"/>
          <w:lang w:val="en-US" w:eastAsia="zh-CN" w:bidi="ar"/>
        </w:rPr>
        <w:t>参与本次项目的企业单位必须具有相应资质，</w:t>
      </w:r>
      <w:r>
        <w:rPr>
          <w:rFonts w:hint="eastAsia" w:ascii="仿宋" w:hAnsi="仿宋" w:eastAsia="仿宋" w:cs="仿宋"/>
          <w:sz w:val="24"/>
          <w:szCs w:val="16"/>
        </w:rPr>
        <w:t>有相关专家支持、专业技术与智能化的设备</w:t>
      </w:r>
      <w:r>
        <w:rPr>
          <w:rFonts w:hint="eastAsia" w:ascii="仿宋" w:hAnsi="仿宋" w:eastAsia="仿宋" w:cs="仿宋"/>
          <w:b w:val="0"/>
          <w:bCs w:val="0"/>
          <w:i w:val="0"/>
          <w:color w:val="000000"/>
          <w:kern w:val="0"/>
          <w:sz w:val="24"/>
          <w:szCs w:val="24"/>
          <w:u w:val="none"/>
          <w:lang w:val="en-US" w:eastAsia="zh-CN" w:bidi="ar"/>
        </w:rPr>
        <w:t>；</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w:t>
      </w:r>
      <w:r>
        <w:rPr>
          <w:rFonts w:hint="default" w:ascii="仿宋" w:hAnsi="仿宋" w:eastAsia="仿宋" w:cs="仿宋"/>
          <w:b w:val="0"/>
          <w:bCs w:val="0"/>
          <w:i w:val="0"/>
          <w:color w:val="000000"/>
          <w:kern w:val="0"/>
          <w:sz w:val="24"/>
          <w:szCs w:val="24"/>
          <w:u w:val="none"/>
          <w:lang w:val="en-US" w:eastAsia="zh-CN" w:bidi="ar"/>
        </w:rPr>
        <w:t>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pStyle w:val="2"/>
        <w:ind w:left="0" w:leftChars="0" w:firstLine="480" w:firstLineChars="20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（五）本项目不接受联合体投标。</w:t>
      </w:r>
    </w:p>
    <w:p>
      <w:pPr>
        <w:keepNext w:val="0"/>
        <w:keepLines w:val="0"/>
        <w:widowControl/>
        <w:numPr>
          <w:ilvl w:val="0"/>
          <w:numId w:val="0"/>
        </w:numPr>
        <w:suppressLineNumbers w:val="0"/>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三、招商要求及回传方式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（一）招商要求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center"/>
        <w:rPr>
          <w:rFonts w:hint="default"/>
          <w:lang w:val="en-US" w:eastAsia="zh-CN"/>
        </w:rPr>
      </w:pPr>
      <w:r>
        <w:rPr>
          <w:rFonts w:hint="eastAsia" w:ascii="仿宋" w:hAnsi="仿宋" w:eastAsia="仿宋" w:cs="仿宋"/>
          <w:i w:val="0"/>
          <w:color w:val="000000"/>
          <w:kern w:val="0"/>
          <w:sz w:val="24"/>
          <w:szCs w:val="24"/>
          <w:u w:val="none"/>
          <w:lang w:val="en-US" w:eastAsia="zh-CN" w:bidi="ar"/>
        </w:rPr>
        <w:t>1、</w:t>
      </w:r>
      <w:r>
        <w:rPr>
          <w:rFonts w:hint="eastAsia" w:ascii="仿宋" w:hAnsi="仿宋" w:eastAsia="仿宋" w:cs="仿宋"/>
          <w:b w:val="0"/>
          <w:bCs w:val="0"/>
          <w:i w:val="0"/>
          <w:color w:val="000000"/>
          <w:kern w:val="0"/>
          <w:sz w:val="24"/>
          <w:szCs w:val="24"/>
          <w:u w:val="none"/>
          <w:lang w:val="en-US" w:eastAsia="zh-CN" w:bidi="ar"/>
        </w:rPr>
        <w:t>会展</w:t>
      </w:r>
      <w:r>
        <w:rPr>
          <w:rFonts w:hint="eastAsia" w:ascii="仿宋" w:hAnsi="仿宋" w:eastAsia="仿宋" w:cs="仿宋"/>
          <w:sz w:val="24"/>
          <w:szCs w:val="16"/>
        </w:rPr>
        <w:t>集团负责提供相应场地</w:t>
      </w:r>
      <w:r>
        <w:rPr>
          <w:rFonts w:hint="eastAsia" w:ascii="仿宋" w:hAnsi="仿宋" w:eastAsia="仿宋" w:cs="仿宋"/>
          <w:sz w:val="24"/>
          <w:szCs w:val="16"/>
          <w:lang w:eastAsia="zh-CN"/>
        </w:rPr>
        <w:t>。</w:t>
      </w:r>
      <w:r>
        <w:rPr>
          <w:rFonts w:hint="eastAsia" w:ascii="仿宋" w:hAnsi="仿宋" w:eastAsia="仿宋" w:cs="仿宋"/>
          <w:sz w:val="24"/>
          <w:szCs w:val="16"/>
        </w:rPr>
        <w:t>项目所需人员，设施设备，系统开发、升级等费用由</w:t>
      </w:r>
      <w:r>
        <w:rPr>
          <w:rFonts w:hint="eastAsia" w:ascii="仿宋" w:hAnsi="仿宋" w:eastAsia="仿宋" w:cs="仿宋"/>
          <w:sz w:val="24"/>
          <w:szCs w:val="16"/>
          <w:lang w:val="en-US" w:eastAsia="zh-CN"/>
        </w:rPr>
        <w:t>合作</w:t>
      </w:r>
      <w:r>
        <w:rPr>
          <w:rFonts w:hint="eastAsia" w:ascii="仿宋" w:hAnsi="仿宋" w:eastAsia="仿宋" w:cs="仿宋"/>
          <w:sz w:val="24"/>
          <w:szCs w:val="16"/>
        </w:rPr>
        <w:t>服务商承担</w:t>
      </w:r>
      <w:r>
        <w:rPr>
          <w:rFonts w:hint="eastAsia" w:ascii="仿宋" w:hAnsi="仿宋" w:eastAsia="仿宋" w:cs="仿宋"/>
          <w:b w:val="0"/>
          <w:bCs w:val="0"/>
          <w:i w:val="0"/>
          <w:color w:val="000000"/>
          <w:kern w:val="0"/>
          <w:sz w:val="24"/>
          <w:szCs w:val="24"/>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2、合作</w:t>
      </w:r>
      <w:r>
        <w:rPr>
          <w:rFonts w:hint="eastAsia" w:ascii="仿宋" w:hAnsi="仿宋" w:eastAsia="仿宋" w:cs="仿宋"/>
          <w:sz w:val="24"/>
          <w:szCs w:val="24"/>
        </w:rPr>
        <w:t>服务商需接受</w:t>
      </w:r>
      <w:r>
        <w:rPr>
          <w:rFonts w:hint="eastAsia" w:ascii="仿宋" w:hAnsi="仿宋" w:eastAsia="仿宋" w:cs="仿宋"/>
          <w:sz w:val="24"/>
          <w:szCs w:val="24"/>
          <w:lang w:val="en-US" w:eastAsia="zh-CN"/>
        </w:rPr>
        <w:t>会展</w:t>
      </w:r>
      <w:r>
        <w:rPr>
          <w:rFonts w:hint="eastAsia" w:ascii="仿宋" w:hAnsi="仿宋" w:eastAsia="仿宋" w:cs="仿宋"/>
          <w:sz w:val="24"/>
          <w:szCs w:val="24"/>
        </w:rPr>
        <w:t>集团的管理和监督，遵守</w:t>
      </w:r>
      <w:r>
        <w:rPr>
          <w:rFonts w:hint="eastAsia" w:ascii="仿宋" w:hAnsi="仿宋" w:eastAsia="仿宋" w:cs="仿宋"/>
          <w:sz w:val="24"/>
          <w:szCs w:val="24"/>
          <w:lang w:val="en-US" w:eastAsia="zh-CN"/>
        </w:rPr>
        <w:t>会展</w:t>
      </w:r>
      <w:r>
        <w:rPr>
          <w:rFonts w:hint="eastAsia" w:ascii="仿宋" w:hAnsi="仿宋" w:eastAsia="仿宋" w:cs="仿宋"/>
          <w:sz w:val="24"/>
          <w:szCs w:val="24"/>
        </w:rPr>
        <w:t>集团的各项管理规定和制度</w:t>
      </w:r>
      <w:r>
        <w:rPr>
          <w:rFonts w:hint="eastAsia" w:ascii="仿宋" w:hAnsi="仿宋" w:eastAsia="仿宋" w:cs="仿宋"/>
          <w:sz w:val="24"/>
          <w:szCs w:val="16"/>
        </w:rPr>
        <w:t>。</w:t>
      </w:r>
      <w:r>
        <w:rPr>
          <w:rFonts w:hint="eastAsia" w:ascii="仿宋" w:hAnsi="仿宋" w:eastAsia="仿宋" w:cs="仿宋"/>
          <w:sz w:val="24"/>
          <w:szCs w:val="24"/>
        </w:rPr>
        <w:t>合同期间，</w:t>
      </w:r>
      <w:r>
        <w:rPr>
          <w:rFonts w:hint="eastAsia" w:ascii="仿宋" w:hAnsi="仿宋" w:eastAsia="仿宋" w:cs="仿宋"/>
          <w:sz w:val="24"/>
          <w:szCs w:val="24"/>
          <w:lang w:val="en-US" w:eastAsia="zh-CN"/>
        </w:rPr>
        <w:t>合作</w:t>
      </w:r>
      <w:r>
        <w:rPr>
          <w:rFonts w:hint="eastAsia" w:ascii="仿宋" w:hAnsi="仿宋" w:eastAsia="仿宋" w:cs="仿宋"/>
          <w:sz w:val="24"/>
          <w:szCs w:val="24"/>
        </w:rPr>
        <w:t>服务商负责项目的日常安全管理工作。因经营产生的一切投诉、纠纷、债权债务及侵权责任等均由</w:t>
      </w:r>
      <w:r>
        <w:rPr>
          <w:rFonts w:hint="eastAsia" w:ascii="仿宋" w:hAnsi="仿宋" w:eastAsia="仿宋" w:cs="仿宋"/>
          <w:sz w:val="24"/>
          <w:szCs w:val="24"/>
          <w:lang w:val="en-US" w:eastAsia="zh-CN"/>
        </w:rPr>
        <w:t>合作</w:t>
      </w:r>
      <w:r>
        <w:rPr>
          <w:rFonts w:hint="eastAsia" w:ascii="仿宋" w:hAnsi="仿宋" w:eastAsia="仿宋" w:cs="仿宋"/>
          <w:sz w:val="24"/>
          <w:szCs w:val="24"/>
        </w:rPr>
        <w:t>服务商自行承担</w:t>
      </w:r>
      <w:r>
        <w:rPr>
          <w:rFonts w:hint="eastAsia" w:ascii="仿宋" w:hAnsi="仿宋" w:eastAsia="仿宋" w:cs="仿宋"/>
          <w:b w:val="0"/>
          <w:bCs w:val="0"/>
          <w:i w:val="0"/>
          <w:color w:val="000000"/>
          <w:kern w:val="0"/>
          <w:sz w:val="24"/>
          <w:szCs w:val="24"/>
          <w:u w:val="none"/>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3、合作服务商</w:t>
      </w:r>
      <w:r>
        <w:rPr>
          <w:rFonts w:hint="eastAsia" w:ascii="仿宋" w:hAnsi="仿宋" w:eastAsia="仿宋" w:cs="仿宋"/>
          <w:sz w:val="24"/>
          <w:szCs w:val="16"/>
        </w:rPr>
        <w:t>负责</w:t>
      </w:r>
      <w:r>
        <w:rPr>
          <w:rFonts w:hint="eastAsia" w:ascii="仿宋" w:hAnsi="仿宋" w:eastAsia="仿宋" w:cs="仿宋"/>
          <w:sz w:val="24"/>
          <w:szCs w:val="16"/>
          <w:lang w:val="en-US" w:eastAsia="zh-CN"/>
        </w:rPr>
        <w:t>本</w:t>
      </w:r>
      <w:r>
        <w:rPr>
          <w:rFonts w:hint="eastAsia" w:ascii="仿宋" w:hAnsi="仿宋" w:eastAsia="仿宋" w:cs="仿宋"/>
          <w:sz w:val="24"/>
          <w:szCs w:val="16"/>
        </w:rPr>
        <w:t>项目</w:t>
      </w:r>
      <w:r>
        <w:rPr>
          <w:rFonts w:hint="eastAsia" w:ascii="仿宋" w:hAnsi="仿宋" w:eastAsia="仿宋" w:cs="仿宋"/>
          <w:sz w:val="24"/>
          <w:szCs w:val="16"/>
          <w:lang w:val="en-US" w:eastAsia="zh-CN"/>
        </w:rPr>
        <w:t>的</w:t>
      </w:r>
      <w:r>
        <w:rPr>
          <w:rFonts w:hint="eastAsia" w:ascii="仿宋" w:hAnsi="仿宋" w:eastAsia="仿宋" w:cs="仿宋"/>
          <w:sz w:val="24"/>
          <w:szCs w:val="16"/>
        </w:rPr>
        <w:t>安全</w:t>
      </w:r>
      <w:r>
        <w:rPr>
          <w:rFonts w:hint="eastAsia" w:ascii="仿宋" w:hAnsi="仿宋" w:eastAsia="仿宋" w:cs="仿宋"/>
          <w:sz w:val="24"/>
          <w:szCs w:val="16"/>
          <w:lang w:val="en-US" w:eastAsia="zh-CN"/>
        </w:rPr>
        <w:t>方案与</w:t>
      </w:r>
      <w:r>
        <w:rPr>
          <w:rFonts w:hint="eastAsia" w:ascii="仿宋" w:hAnsi="仿宋" w:eastAsia="仿宋" w:cs="仿宋"/>
          <w:sz w:val="24"/>
          <w:szCs w:val="16"/>
        </w:rPr>
        <w:t>管理</w:t>
      </w:r>
      <w:r>
        <w:rPr>
          <w:rFonts w:hint="eastAsia" w:ascii="仿宋" w:hAnsi="仿宋" w:eastAsia="仿宋" w:cs="仿宋"/>
          <w:sz w:val="24"/>
          <w:szCs w:val="16"/>
          <w:lang w:eastAsia="zh-CN"/>
        </w:rPr>
        <w:t>、</w:t>
      </w:r>
      <w:r>
        <w:rPr>
          <w:rFonts w:hint="eastAsia" w:ascii="仿宋" w:hAnsi="仿宋" w:eastAsia="仿宋" w:cs="仿宋"/>
          <w:sz w:val="24"/>
          <w:szCs w:val="16"/>
        </w:rPr>
        <w:t>风险评估、应急处置、</w:t>
      </w:r>
      <w:r>
        <w:rPr>
          <w:rFonts w:hint="eastAsia" w:ascii="仿宋" w:hAnsi="仿宋" w:eastAsia="仿宋" w:cs="仿宋"/>
          <w:sz w:val="24"/>
          <w:szCs w:val="16"/>
          <w:lang w:val="en-US" w:eastAsia="zh-CN"/>
        </w:rPr>
        <w:t>项目</w:t>
      </w:r>
      <w:r>
        <w:rPr>
          <w:rFonts w:hint="eastAsia" w:ascii="仿宋" w:hAnsi="仿宋" w:eastAsia="仿宋" w:cs="仿宋"/>
          <w:sz w:val="24"/>
          <w:szCs w:val="16"/>
        </w:rPr>
        <w:t>培训，提供</w:t>
      </w:r>
      <w:r>
        <w:rPr>
          <w:rFonts w:hint="eastAsia" w:ascii="仿宋" w:hAnsi="仿宋" w:eastAsia="仿宋" w:cs="仿宋"/>
          <w:sz w:val="24"/>
          <w:szCs w:val="16"/>
          <w:lang w:val="en-US" w:eastAsia="zh-CN"/>
        </w:rPr>
        <w:t>项目</w:t>
      </w:r>
      <w:r>
        <w:rPr>
          <w:rFonts w:hint="eastAsia" w:ascii="仿宋" w:hAnsi="仿宋" w:eastAsia="仿宋" w:cs="仿宋"/>
          <w:sz w:val="24"/>
          <w:szCs w:val="16"/>
        </w:rPr>
        <w:t>技术与设备，协助展馆及主办进行政策咨询、与主管部门沟通协调等工作</w:t>
      </w:r>
      <w:r>
        <w:rPr>
          <w:rFonts w:hint="eastAsia" w:ascii="仿宋" w:hAnsi="仿宋" w:eastAsia="仿宋" w:cs="仿宋"/>
          <w:b w:val="0"/>
          <w:bCs w:val="0"/>
          <w:i w:val="0"/>
          <w:color w:val="000000"/>
          <w:kern w:val="0"/>
          <w:sz w:val="24"/>
          <w:szCs w:val="24"/>
          <w:u w:val="none"/>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40"/>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4、合作</w:t>
      </w:r>
      <w:r>
        <w:rPr>
          <w:rFonts w:hint="eastAsia" w:ascii="仿宋" w:hAnsi="仿宋" w:eastAsia="仿宋" w:cs="仿宋"/>
          <w:sz w:val="24"/>
          <w:szCs w:val="16"/>
        </w:rPr>
        <w:t>服务商在收银等方面须接受</w:t>
      </w:r>
      <w:r>
        <w:rPr>
          <w:rFonts w:hint="eastAsia" w:ascii="仿宋" w:hAnsi="仿宋" w:eastAsia="仿宋" w:cs="仿宋"/>
          <w:sz w:val="24"/>
          <w:szCs w:val="16"/>
          <w:lang w:val="en-US" w:eastAsia="zh-CN"/>
        </w:rPr>
        <w:t>会展</w:t>
      </w:r>
      <w:r>
        <w:rPr>
          <w:rFonts w:hint="eastAsia" w:ascii="仿宋" w:hAnsi="仿宋" w:eastAsia="仿宋" w:cs="仿宋"/>
          <w:sz w:val="24"/>
          <w:szCs w:val="16"/>
        </w:rPr>
        <w:t>集团的统一管理，相关收入</w:t>
      </w:r>
      <w:r>
        <w:rPr>
          <w:rFonts w:hint="eastAsia" w:ascii="仿宋" w:hAnsi="仿宋" w:eastAsia="仿宋" w:cs="仿宋"/>
          <w:sz w:val="24"/>
          <w:szCs w:val="16"/>
          <w:lang w:val="en-US" w:eastAsia="zh-CN"/>
        </w:rPr>
        <w:t>会展</w:t>
      </w:r>
      <w:r>
        <w:rPr>
          <w:rFonts w:hint="eastAsia" w:ascii="仿宋" w:hAnsi="仿宋" w:eastAsia="仿宋" w:cs="仿宋"/>
          <w:sz w:val="24"/>
          <w:szCs w:val="16"/>
        </w:rPr>
        <w:t>集团按税前抽成方式抽取，</w:t>
      </w:r>
      <w:r>
        <w:rPr>
          <w:rFonts w:hint="eastAsia" w:ascii="仿宋" w:hAnsi="仿宋" w:eastAsia="仿宋" w:cs="仿宋"/>
          <w:color w:val="auto"/>
          <w:sz w:val="24"/>
          <w:szCs w:val="16"/>
        </w:rPr>
        <w:t>抽成比例按年度递增，不低于以下比例：第一年10%、第二</w:t>
      </w:r>
      <w:r>
        <w:rPr>
          <w:rFonts w:hint="eastAsia" w:ascii="仿宋" w:hAnsi="仿宋" w:eastAsia="仿宋" w:cs="仿宋"/>
          <w:sz w:val="24"/>
          <w:szCs w:val="16"/>
        </w:rPr>
        <w:t>年15%、第三年起20%，第三年结束由</w:t>
      </w:r>
      <w:r>
        <w:rPr>
          <w:rFonts w:hint="eastAsia" w:ascii="仿宋" w:hAnsi="仿宋" w:eastAsia="仿宋" w:cs="仿宋"/>
          <w:sz w:val="24"/>
          <w:szCs w:val="16"/>
          <w:lang w:val="en-US" w:eastAsia="zh-CN"/>
        </w:rPr>
        <w:t>合作</w:t>
      </w:r>
      <w:r>
        <w:rPr>
          <w:rFonts w:hint="eastAsia" w:ascii="仿宋" w:hAnsi="仿宋" w:eastAsia="仿宋" w:cs="仿宋"/>
          <w:sz w:val="24"/>
          <w:szCs w:val="16"/>
        </w:rPr>
        <w:t>服务商评估是否更新设备和技术迭代。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r>
        <w:rPr>
          <w:rFonts w:hint="eastAsia" w:ascii="仿宋" w:hAnsi="仿宋" w:eastAsia="仿宋" w:cs="仿宋"/>
          <w:sz w:val="24"/>
          <w:szCs w:val="32"/>
          <w:lang w:val="en-US" w:eastAsia="zh-CN"/>
        </w:rPr>
        <w:t>运营单位负责经营手续办理、消防、治安报批等相关工作以及由此产生的费用；经营所需的水电费、物业费等经营相关费用，由运营单位承担。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center"/>
        <w:rPr>
          <w:rFonts w:hint="default"/>
          <w:lang w:val="en-US" w:eastAsia="zh-CN"/>
        </w:rPr>
      </w:pPr>
      <w:r>
        <w:rPr>
          <w:rFonts w:hint="eastAsia" w:ascii="仿宋" w:hAnsi="仿宋" w:eastAsia="仿宋" w:cs="仿宋"/>
          <w:i w:val="0"/>
          <w:color w:val="000000"/>
          <w:kern w:val="0"/>
          <w:sz w:val="24"/>
          <w:szCs w:val="24"/>
          <w:u w:val="none"/>
          <w:lang w:val="en-US" w:eastAsia="zh-CN" w:bidi="ar"/>
        </w:rPr>
        <w:t>7、</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需递交营业执照、纳税证明、征信证明、项目规划方案等（复印件需加盖公章）。</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参与报价单位请在接收询价单后5个工作日内（2</w:t>
      </w:r>
      <w:r>
        <w:rPr>
          <w:rFonts w:hint="eastAsia" w:ascii="仿宋" w:hAnsi="仿宋" w:eastAsia="仿宋" w:cs="仿宋"/>
          <w:b/>
          <w:bCs/>
          <w:i w:val="0"/>
          <w:color w:val="auto"/>
          <w:kern w:val="0"/>
          <w:sz w:val="24"/>
          <w:szCs w:val="24"/>
          <w:u w:val="none"/>
          <w:lang w:val="en-US" w:eastAsia="zh-CN" w:bidi="ar"/>
        </w:rPr>
        <w:t>月1日16</w:t>
      </w:r>
      <w:bookmarkStart w:id="0" w:name="_GoBack"/>
      <w:bookmarkEnd w:id="0"/>
      <w:r>
        <w:rPr>
          <w:rFonts w:hint="eastAsia" w:ascii="仿宋" w:hAnsi="仿宋" w:eastAsia="仿宋" w:cs="仿宋"/>
          <w:b/>
          <w:bCs/>
          <w:i w:val="0"/>
          <w:color w:val="auto"/>
          <w:kern w:val="0"/>
          <w:sz w:val="24"/>
          <w:szCs w:val="24"/>
          <w:u w:val="none"/>
          <w:lang w:val="en-US" w:eastAsia="zh-CN" w:bidi="ar"/>
        </w:rPr>
        <w:t>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（注：1、快件外部请写明项目名称，例：安防项目。2、</w:t>
      </w:r>
      <w:r>
        <w:rPr>
          <w:rStyle w:val="9"/>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9"/>
          <w:rFonts w:hint="eastAsia" w:ascii="仿宋" w:hAnsi="仿宋" w:eastAsia="仿宋" w:cs="仿宋"/>
          <w:b/>
          <w:bCs/>
          <w:i w:val="0"/>
          <w:caps w:val="0"/>
          <w:color w:val="212529"/>
          <w:spacing w:val="0"/>
          <w:sz w:val="24"/>
          <w:szCs w:val="24"/>
          <w:shd w:val="clear" w:fill="FFFFFF"/>
          <w:lang w:eastAsia="zh-CN"/>
        </w:rPr>
        <w:t>。</w:t>
      </w:r>
      <w:r>
        <w:rPr>
          <w:rStyle w:val="9"/>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、所有材料均准备三份。4、参与本项目单位请一并将项目联系人联系方式及营业执照发送至邮箱：</w:t>
      </w:r>
      <w:r>
        <w:rPr>
          <w:rStyle w:val="10"/>
          <w:rFonts w:hint="eastAsia" w:ascii="仿宋" w:hAnsi="仿宋" w:eastAsia="仿宋" w:cs="仿宋"/>
          <w:b/>
          <w:bCs/>
          <w:i w:val="0"/>
          <w:color w:val="000000"/>
          <w:kern w:val="0"/>
          <w:sz w:val="24"/>
          <w:szCs w:val="24"/>
          <w:u w:val="none"/>
          <w:lang w:val="en-US" w:eastAsia="zh-CN" w:bidi="ar"/>
        </w:rPr>
        <w:t>sdgjhzzbcg@163.com以便于统计投标单位数量，邮箱主题名称格式：公司名称+项目名称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pPr>
        <w:pStyle w:val="2"/>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如有疑问，详情咨询：0531-81255925。</w:t>
      </w:r>
    </w:p>
    <w:p>
      <w:pPr>
        <w:numPr>
          <w:ilvl w:val="0"/>
          <w:numId w:val="0"/>
        </w:numPr>
        <w:ind w:leftChars="200"/>
        <w:rPr>
          <w:rFonts w:hint="eastAsia" w:ascii="楷体" w:hAnsi="楷体" w:eastAsia="楷体" w:cs="楷体"/>
          <w:b/>
          <w:bCs/>
          <w:sz w:val="28"/>
          <w:szCs w:val="36"/>
          <w:lang w:val="en-US" w:eastAsia="zh-CN"/>
        </w:rPr>
      </w:pPr>
      <w:r>
        <w:rPr>
          <w:rFonts w:hint="eastAsia" w:ascii="楷体" w:hAnsi="楷体" w:eastAsia="楷体" w:cs="楷体"/>
          <w:b/>
          <w:bCs/>
          <w:sz w:val="28"/>
          <w:szCs w:val="36"/>
          <w:lang w:val="en-US" w:eastAsia="zh-CN"/>
        </w:rPr>
        <w:t>四、评分标准</w:t>
      </w:r>
    </w:p>
    <w:p>
      <w:pPr>
        <w:pStyle w:val="2"/>
        <w:numPr>
          <w:ilvl w:val="0"/>
          <w:numId w:val="0"/>
        </w:numPr>
        <w:ind w:left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服务商招募采取综合评分办法、评分标准见下页。</w:t>
      </w:r>
    </w:p>
    <w:p>
      <w:pPr>
        <w:rPr>
          <w:rFonts w:hint="eastAsia" w:ascii="仿宋" w:hAnsi="仿宋" w:eastAsia="仿宋" w:cs="仿宋"/>
          <w:sz w:val="24"/>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6"/>
        <w:tblW w:w="14038" w:type="dxa"/>
        <w:tblInd w:w="93" w:type="dxa"/>
        <w:tblLayout w:type="fixed"/>
        <w:tblCellMar>
          <w:top w:w="0" w:type="dxa"/>
          <w:left w:w="0" w:type="dxa"/>
          <w:bottom w:w="0" w:type="dxa"/>
          <w:right w:w="0" w:type="dxa"/>
        </w:tblCellMar>
      </w:tblPr>
      <w:tblGrid>
        <w:gridCol w:w="711"/>
        <w:gridCol w:w="1633"/>
        <w:gridCol w:w="942"/>
        <w:gridCol w:w="10752"/>
      </w:tblGrid>
      <w:tr>
        <w:tblPrEx>
          <w:tblCellMar>
            <w:top w:w="0" w:type="dxa"/>
            <w:left w:w="0" w:type="dxa"/>
            <w:bottom w:w="0" w:type="dxa"/>
            <w:right w:w="0" w:type="dxa"/>
          </w:tblCellMar>
        </w:tblPrEx>
        <w:trPr>
          <w:trHeight w:val="293" w:hRule="atLeast"/>
        </w:trPr>
        <w:tc>
          <w:tcPr>
            <w:tcW w:w="14038" w:type="dxa"/>
            <w:gridSpan w:val="4"/>
            <w:tcBorders>
              <w:top w:val="nil"/>
              <w:left w:val="nil"/>
              <w:bottom w:val="single" w:color="000000" w:sz="4" w:space="0"/>
              <w:right w:val="nil"/>
            </w:tcBorders>
            <w:noWrap/>
            <w:tcMar>
              <w:top w:w="15" w:type="dxa"/>
              <w:left w:w="15" w:type="dxa"/>
              <w:bottom w:w="0" w:type="dxa"/>
              <w:right w:w="15" w:type="dxa"/>
            </w:tcMar>
            <w:vAlign w:val="center"/>
          </w:tcPr>
          <w:p>
            <w:pPr>
              <w:widowControl/>
              <w:jc w:val="center"/>
              <w:textAlignment w:val="center"/>
              <w:rPr>
                <w:rFonts w:hint="eastAsia" w:ascii="楷体" w:hAnsi="楷体" w:eastAsia="楷体"/>
                <w:b/>
                <w:bCs/>
                <w:kern w:val="0"/>
                <w:sz w:val="24"/>
                <w:szCs w:val="24"/>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山东国际会展集团有限公司安防道闸合作服务商招募项目——综合评分表</w:t>
            </w:r>
          </w:p>
        </w:tc>
      </w:tr>
      <w:tr>
        <w:tblPrEx>
          <w:tblCellMar>
            <w:top w:w="0" w:type="dxa"/>
            <w:left w:w="0" w:type="dxa"/>
            <w:bottom w:w="0" w:type="dxa"/>
            <w:right w:w="0" w:type="dxa"/>
          </w:tblCellMar>
        </w:tblPrEx>
        <w:trPr>
          <w:trHeight w:val="293"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楷体" w:hAnsi="楷体" w:eastAsia="楷体"/>
                <w:b/>
                <w:bCs/>
                <w:sz w:val="24"/>
                <w:szCs w:val="24"/>
              </w:rPr>
            </w:pPr>
            <w:r>
              <w:rPr>
                <w:rFonts w:hint="eastAsia" w:ascii="楷体" w:hAnsi="楷体" w:eastAsia="楷体"/>
                <w:b/>
                <w:bCs/>
                <w:kern w:val="0"/>
                <w:sz w:val="24"/>
                <w:szCs w:val="24"/>
              </w:rPr>
              <w:t>序号</w:t>
            </w: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楷体" w:hAnsi="楷体" w:eastAsia="楷体"/>
                <w:b/>
                <w:bCs/>
                <w:sz w:val="24"/>
                <w:szCs w:val="24"/>
              </w:rPr>
            </w:pPr>
            <w:r>
              <w:rPr>
                <w:rFonts w:hint="eastAsia" w:ascii="楷体" w:hAnsi="楷体" w:eastAsia="楷体"/>
                <w:b/>
                <w:bCs/>
                <w:kern w:val="0"/>
                <w:sz w:val="24"/>
                <w:szCs w:val="24"/>
              </w:rPr>
              <w:t>评审因素</w:t>
            </w:r>
          </w:p>
        </w:tc>
        <w:tc>
          <w:tcPr>
            <w:tcW w:w="94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楷体" w:hAnsi="楷体" w:eastAsia="楷体"/>
                <w:b/>
                <w:bCs/>
                <w:sz w:val="24"/>
                <w:szCs w:val="24"/>
              </w:rPr>
            </w:pPr>
            <w:r>
              <w:rPr>
                <w:rFonts w:hint="eastAsia" w:ascii="楷体" w:hAnsi="楷体" w:eastAsia="楷体"/>
                <w:b/>
                <w:bCs/>
                <w:kern w:val="0"/>
                <w:sz w:val="24"/>
                <w:szCs w:val="24"/>
              </w:rPr>
              <w:t>分值</w:t>
            </w:r>
          </w:p>
        </w:tc>
        <w:tc>
          <w:tcPr>
            <w:tcW w:w="1075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楷体" w:hAnsi="楷体" w:eastAsia="楷体"/>
                <w:b/>
                <w:bCs/>
                <w:sz w:val="24"/>
                <w:szCs w:val="24"/>
              </w:rPr>
            </w:pPr>
            <w:r>
              <w:rPr>
                <w:rFonts w:hint="eastAsia" w:ascii="楷体" w:hAnsi="楷体" w:eastAsia="楷体"/>
                <w:b/>
                <w:bCs/>
                <w:kern w:val="0"/>
                <w:sz w:val="24"/>
                <w:szCs w:val="24"/>
              </w:rPr>
              <w:t>评审标准</w:t>
            </w:r>
          </w:p>
        </w:tc>
      </w:tr>
      <w:tr>
        <w:tblPrEx>
          <w:tblCellMar>
            <w:top w:w="0" w:type="dxa"/>
            <w:left w:w="0" w:type="dxa"/>
            <w:bottom w:w="0" w:type="dxa"/>
            <w:right w:w="0" w:type="dxa"/>
          </w:tblCellMar>
        </w:tblPrEx>
        <w:trPr>
          <w:trHeight w:val="706"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楷体" w:hAnsi="楷体" w:eastAsia="楷体"/>
                <w:sz w:val="24"/>
                <w:szCs w:val="24"/>
              </w:rPr>
            </w:pPr>
            <w:r>
              <w:rPr>
                <w:rFonts w:hint="eastAsia" w:ascii="楷体" w:hAnsi="楷体" w:eastAsia="楷体"/>
                <w:kern w:val="0"/>
                <w:sz w:val="24"/>
                <w:szCs w:val="24"/>
              </w:rPr>
              <w:t>1</w:t>
            </w:r>
          </w:p>
        </w:tc>
        <w:tc>
          <w:tcPr>
            <w:tcW w:w="1633"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楷体" w:hAnsi="楷体" w:eastAsia="楷体"/>
                <w:sz w:val="24"/>
                <w:szCs w:val="24"/>
                <w:lang w:val="en-US" w:eastAsia="zh-CN"/>
              </w:rPr>
            </w:pPr>
            <w:r>
              <w:rPr>
                <w:rFonts w:hint="eastAsia" w:ascii="楷体" w:hAnsi="楷体" w:eastAsia="楷体"/>
                <w:sz w:val="24"/>
                <w:szCs w:val="24"/>
                <w:lang w:val="en-US" w:eastAsia="zh-CN"/>
              </w:rPr>
              <w:t>抽成比例</w:t>
            </w:r>
          </w:p>
        </w:tc>
        <w:tc>
          <w:tcPr>
            <w:tcW w:w="94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default" w:ascii="楷体" w:hAnsi="楷体" w:eastAsia="楷体"/>
                <w:sz w:val="24"/>
                <w:szCs w:val="24"/>
                <w:lang w:val="en-US" w:eastAsia="zh-CN"/>
              </w:rPr>
            </w:pPr>
            <w:r>
              <w:rPr>
                <w:rFonts w:hint="eastAsia" w:ascii="楷体" w:hAnsi="楷体" w:eastAsia="楷体"/>
                <w:kern w:val="0"/>
                <w:sz w:val="24"/>
                <w:szCs w:val="24"/>
                <w:lang w:val="en-US" w:eastAsia="zh-CN"/>
              </w:rPr>
              <w:t>30</w:t>
            </w:r>
          </w:p>
        </w:tc>
        <w:tc>
          <w:tcPr>
            <w:tcW w:w="107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default" w:ascii="楷体" w:hAnsi="楷体" w:eastAsia="楷体"/>
                <w:sz w:val="24"/>
                <w:szCs w:val="24"/>
                <w:lang w:val="en-US" w:eastAsia="zh-CN"/>
              </w:rPr>
            </w:pPr>
            <w:r>
              <w:rPr>
                <w:rFonts w:hint="eastAsia" w:ascii="楷体" w:hAnsi="楷体" w:eastAsia="楷体"/>
                <w:kern w:val="0"/>
                <w:sz w:val="24"/>
                <w:szCs w:val="24"/>
                <w:lang w:val="en-US" w:eastAsia="zh-CN"/>
              </w:rPr>
              <w:t>抽成比例基准分25分，报价中抽成比例不低于以下比例：第一年10%，第二年15%，第三年20%，抽成比例每高1%，加0.5分，满分30分。报价低于要求的，此项不得分。</w:t>
            </w:r>
          </w:p>
        </w:tc>
      </w:tr>
      <w:tr>
        <w:tblPrEx>
          <w:tblCellMar>
            <w:top w:w="0" w:type="dxa"/>
            <w:left w:w="0" w:type="dxa"/>
            <w:bottom w:w="0" w:type="dxa"/>
            <w:right w:w="0" w:type="dxa"/>
          </w:tblCellMar>
        </w:tblPrEx>
        <w:trPr>
          <w:trHeight w:val="1171"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default" w:ascii="楷体" w:hAnsi="楷体" w:eastAsia="楷体"/>
                <w:kern w:val="0"/>
                <w:sz w:val="24"/>
                <w:szCs w:val="24"/>
                <w:lang w:val="en-US" w:eastAsia="zh-CN"/>
              </w:rPr>
            </w:pPr>
            <w:r>
              <w:rPr>
                <w:rFonts w:hint="eastAsia" w:ascii="楷体" w:hAnsi="楷体" w:eastAsia="楷体"/>
                <w:kern w:val="0"/>
                <w:sz w:val="24"/>
                <w:szCs w:val="24"/>
                <w:lang w:val="en-US" w:eastAsia="zh-CN"/>
              </w:rPr>
              <w:t>2</w:t>
            </w:r>
          </w:p>
        </w:tc>
        <w:tc>
          <w:tcPr>
            <w:tcW w:w="1633"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r>
              <w:rPr>
                <w:rFonts w:hint="eastAsia" w:ascii="楷体" w:hAnsi="楷体" w:eastAsia="楷体"/>
                <w:kern w:val="0"/>
                <w:sz w:val="24"/>
                <w:szCs w:val="24"/>
              </w:rPr>
              <w:t>信息安全认证</w:t>
            </w:r>
          </w:p>
        </w:tc>
        <w:tc>
          <w:tcPr>
            <w:tcW w:w="94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default" w:ascii="楷体" w:hAnsi="楷体" w:eastAsia="楷体"/>
                <w:kern w:val="0"/>
                <w:sz w:val="24"/>
                <w:szCs w:val="24"/>
                <w:lang w:val="en-US" w:eastAsia="zh-CN"/>
              </w:rPr>
            </w:pPr>
            <w:r>
              <w:rPr>
                <w:rFonts w:hint="eastAsia" w:ascii="楷体" w:hAnsi="楷体" w:eastAsia="楷体"/>
                <w:kern w:val="0"/>
                <w:sz w:val="24"/>
                <w:szCs w:val="24"/>
                <w:lang w:val="en-US" w:eastAsia="zh-CN"/>
              </w:rPr>
              <w:t>20</w:t>
            </w:r>
          </w:p>
        </w:tc>
        <w:tc>
          <w:tcPr>
            <w:tcW w:w="107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Style w:val="2"/>
              <w:numPr>
                <w:ilvl w:val="0"/>
                <w:numId w:val="4"/>
              </w:numPr>
              <w:spacing w:after="0"/>
              <w:ind w:leftChars="0" w:firstLineChars="0"/>
              <w:jc w:val="left"/>
              <w:rPr>
                <w:rFonts w:ascii="楷体" w:hAnsi="楷体" w:eastAsia="楷体" w:cs="楷体"/>
                <w:kern w:val="0"/>
                <w:sz w:val="24"/>
                <w:lang w:bidi="ar"/>
              </w:rPr>
            </w:pPr>
            <w:r>
              <w:rPr>
                <w:rFonts w:hint="eastAsia" w:ascii="楷体" w:hAnsi="楷体" w:eastAsia="楷体" w:cs="楷体"/>
                <w:kern w:val="0"/>
                <w:sz w:val="24"/>
                <w:lang w:bidi="ar"/>
              </w:rPr>
              <w:t>应取得信息安全管理体系认证；信息安全管理体系符合G</w:t>
            </w:r>
            <w:r>
              <w:rPr>
                <w:rFonts w:ascii="楷体" w:hAnsi="楷体" w:eastAsia="楷体" w:cs="楷体"/>
                <w:kern w:val="0"/>
                <w:sz w:val="24"/>
                <w:lang w:bidi="ar"/>
              </w:rPr>
              <w:t>B</w:t>
            </w:r>
            <w:r>
              <w:rPr>
                <w:rFonts w:hint="eastAsia" w:ascii="楷体" w:hAnsi="楷体" w:eastAsia="楷体" w:cs="楷体"/>
                <w:kern w:val="0"/>
                <w:sz w:val="24"/>
                <w:lang w:bidi="ar"/>
              </w:rPr>
              <w:t>/</w:t>
            </w:r>
            <w:r>
              <w:rPr>
                <w:rFonts w:ascii="楷体" w:hAnsi="楷体" w:eastAsia="楷体" w:cs="楷体"/>
                <w:kern w:val="0"/>
                <w:sz w:val="24"/>
                <w:lang w:bidi="ar"/>
              </w:rPr>
              <w:t>T22080</w:t>
            </w:r>
            <w:r>
              <w:rPr>
                <w:rFonts w:hint="eastAsia" w:ascii="楷体" w:hAnsi="楷体" w:eastAsia="楷体" w:cs="楷体"/>
                <w:kern w:val="0"/>
                <w:sz w:val="24"/>
                <w:lang w:bidi="ar"/>
              </w:rPr>
              <w:t>-</w:t>
            </w:r>
            <w:r>
              <w:rPr>
                <w:rFonts w:ascii="楷体" w:hAnsi="楷体" w:eastAsia="楷体" w:cs="楷体"/>
                <w:kern w:val="0"/>
                <w:sz w:val="24"/>
                <w:lang w:bidi="ar"/>
              </w:rPr>
              <w:t>2016/</w:t>
            </w:r>
            <w:r>
              <w:rPr>
                <w:rFonts w:hint="eastAsia" w:ascii="楷体" w:hAnsi="楷体" w:eastAsia="楷体" w:cs="楷体"/>
                <w:kern w:val="0"/>
                <w:sz w:val="24"/>
                <w:lang w:bidi="ar"/>
              </w:rPr>
              <w:t>ISO</w:t>
            </w:r>
            <w:r>
              <w:rPr>
                <w:rFonts w:ascii="楷体" w:hAnsi="楷体" w:eastAsia="楷体" w:cs="楷体"/>
                <w:kern w:val="0"/>
                <w:sz w:val="24"/>
                <w:lang w:bidi="ar"/>
              </w:rPr>
              <w:t>/IEC/ 27001:2013</w:t>
            </w:r>
            <w:r>
              <w:rPr>
                <w:rFonts w:hint="eastAsia" w:ascii="楷体" w:hAnsi="楷体" w:eastAsia="楷体" w:cs="楷体"/>
                <w:kern w:val="0"/>
                <w:sz w:val="24"/>
                <w:lang w:bidi="ar"/>
              </w:rPr>
              <w:t>标准。</w:t>
            </w:r>
          </w:p>
          <w:p>
            <w:pPr>
              <w:pStyle w:val="2"/>
              <w:numPr>
                <w:ilvl w:val="0"/>
                <w:numId w:val="4"/>
              </w:numPr>
              <w:spacing w:after="0"/>
              <w:ind w:leftChars="0" w:firstLineChars="0"/>
              <w:jc w:val="left"/>
              <w:rPr>
                <w:rFonts w:ascii="楷体" w:hAnsi="楷体" w:eastAsia="楷体" w:cs="楷体"/>
                <w:kern w:val="0"/>
                <w:sz w:val="24"/>
                <w:lang w:bidi="ar"/>
              </w:rPr>
            </w:pPr>
            <w:r>
              <w:rPr>
                <w:rFonts w:hint="eastAsia" w:ascii="楷体" w:hAnsi="楷体" w:eastAsia="楷体" w:cs="楷体"/>
                <w:kern w:val="0"/>
                <w:sz w:val="24"/>
                <w:lang w:bidi="ar"/>
              </w:rPr>
              <w:t>设备支持读取身份证。</w:t>
            </w:r>
          </w:p>
          <w:p>
            <w:pPr>
              <w:pStyle w:val="2"/>
              <w:numPr>
                <w:ilvl w:val="0"/>
                <w:numId w:val="4"/>
              </w:numPr>
              <w:spacing w:after="0"/>
              <w:ind w:leftChars="0" w:firstLineChars="0"/>
              <w:jc w:val="left"/>
              <w:rPr>
                <w:rFonts w:ascii="楷体" w:hAnsi="楷体" w:eastAsia="楷体" w:cs="楷体"/>
                <w:kern w:val="0"/>
                <w:sz w:val="24"/>
                <w:lang w:bidi="ar"/>
              </w:rPr>
            </w:pPr>
            <w:r>
              <w:rPr>
                <w:rFonts w:hint="eastAsia" w:ascii="楷体" w:hAnsi="楷体" w:eastAsia="楷体" w:cs="楷体"/>
                <w:kern w:val="0"/>
                <w:sz w:val="24"/>
                <w:lang w:bidi="ar"/>
              </w:rPr>
              <w:t>支持建立“一人一档”，信息可记录。</w:t>
            </w:r>
          </w:p>
          <w:p>
            <w:pPr>
              <w:pStyle w:val="2"/>
              <w:numPr>
                <w:ilvl w:val="0"/>
                <w:numId w:val="4"/>
              </w:numPr>
              <w:spacing w:after="0"/>
              <w:ind w:leftChars="0" w:firstLineChars="0"/>
              <w:jc w:val="left"/>
              <w:rPr>
                <w:rFonts w:ascii="楷体" w:hAnsi="楷体" w:eastAsia="楷体" w:cs="楷体"/>
                <w:kern w:val="0"/>
                <w:sz w:val="24"/>
                <w:lang w:bidi="ar"/>
              </w:rPr>
            </w:pPr>
            <w:r>
              <w:rPr>
                <w:rFonts w:hint="eastAsia" w:ascii="楷体" w:hAnsi="楷体" w:eastAsia="楷体" w:cs="楷体"/>
                <w:kern w:val="0"/>
                <w:sz w:val="24"/>
                <w:lang w:bidi="ar"/>
              </w:rPr>
              <w:t>支持与会人员基础信息查询，可追溯。</w:t>
            </w:r>
          </w:p>
          <w:p>
            <w:pPr>
              <w:pStyle w:val="2"/>
              <w:numPr>
                <w:ilvl w:val="0"/>
                <w:numId w:val="4"/>
              </w:numPr>
              <w:spacing w:after="0"/>
              <w:ind w:leftChars="0" w:firstLineChars="0"/>
              <w:jc w:val="left"/>
              <w:rPr>
                <w:rFonts w:ascii="楷体" w:hAnsi="楷体" w:eastAsia="楷体" w:cs="楷体"/>
                <w:kern w:val="0"/>
                <w:sz w:val="24"/>
                <w:lang w:bidi="ar"/>
              </w:rPr>
            </w:pPr>
            <w:r>
              <w:rPr>
                <w:rFonts w:hint="eastAsia" w:ascii="楷体" w:hAnsi="楷体" w:eastAsia="楷体" w:cs="楷体"/>
                <w:kern w:val="0"/>
                <w:sz w:val="24"/>
                <w:lang w:bidi="ar"/>
              </w:rPr>
              <w:t>支持通过公安比对实现人脸公民身份验证。</w:t>
            </w:r>
          </w:p>
          <w:p>
            <w:pPr>
              <w:pStyle w:val="2"/>
              <w:numPr>
                <w:ilvl w:val="0"/>
                <w:numId w:val="4"/>
              </w:numPr>
              <w:spacing w:after="0"/>
              <w:ind w:leftChars="0" w:firstLineChars="0"/>
              <w:jc w:val="left"/>
              <w:rPr>
                <w:rFonts w:ascii="楷体" w:hAnsi="楷体" w:eastAsia="楷体" w:cs="楷体"/>
                <w:kern w:val="0"/>
                <w:sz w:val="24"/>
                <w:lang w:bidi="ar"/>
              </w:rPr>
            </w:pPr>
            <w:r>
              <w:rPr>
                <w:rFonts w:hint="eastAsia" w:ascii="楷体" w:hAnsi="楷体" w:eastAsia="楷体" w:cs="楷体"/>
                <w:kern w:val="0"/>
                <w:sz w:val="24"/>
                <w:lang w:val="en-US" w:eastAsia="zh-CN" w:bidi="ar"/>
              </w:rPr>
              <w:t>保障信息安全性，保证用户信息不泄露。</w:t>
            </w:r>
          </w:p>
          <w:p>
            <w:pPr>
              <w:pStyle w:val="2"/>
              <w:numPr>
                <w:ilvl w:val="0"/>
                <w:numId w:val="4"/>
              </w:numPr>
              <w:spacing w:after="0"/>
              <w:ind w:leftChars="0" w:firstLineChars="0"/>
              <w:jc w:val="left"/>
              <w:rPr>
                <w:rFonts w:ascii="楷体" w:hAnsi="楷体" w:eastAsia="楷体" w:cs="楷体"/>
                <w:kern w:val="0"/>
                <w:sz w:val="24"/>
                <w:lang w:bidi="ar"/>
              </w:rPr>
            </w:pPr>
            <w:r>
              <w:rPr>
                <w:rFonts w:hint="eastAsia" w:ascii="楷体" w:hAnsi="楷体" w:eastAsia="楷体" w:cs="楷体"/>
                <w:kern w:val="0"/>
                <w:sz w:val="24"/>
                <w:lang w:bidi="ar"/>
              </w:rPr>
              <w:t>支持设备实时测温功能。</w:t>
            </w:r>
          </w:p>
          <w:p>
            <w:pPr>
              <w:pStyle w:val="2"/>
              <w:spacing w:after="0"/>
              <w:ind w:left="0" w:leftChars="0" w:firstLine="0" w:firstLineChars="0"/>
              <w:jc w:val="left"/>
              <w:rPr>
                <w:rFonts w:hint="eastAsia" w:ascii="楷体" w:hAnsi="楷体" w:eastAsia="楷体" w:cs="楷体"/>
                <w:kern w:val="0"/>
                <w:sz w:val="24"/>
                <w:lang w:eastAsia="zh-CN" w:bidi="ar"/>
              </w:rPr>
            </w:pPr>
            <w:r>
              <w:rPr>
                <w:rFonts w:hint="eastAsia" w:ascii="楷体" w:hAnsi="楷体" w:eastAsia="楷体" w:cs="楷体"/>
                <w:kern w:val="0"/>
                <w:sz w:val="24"/>
                <w:lang w:val="en-US" w:eastAsia="zh-CN" w:bidi="ar"/>
              </w:rPr>
              <w:t>8</w:t>
            </w:r>
            <w:r>
              <w:rPr>
                <w:rFonts w:hint="eastAsia" w:ascii="楷体" w:hAnsi="楷体" w:eastAsia="楷体" w:cs="楷体"/>
                <w:kern w:val="0"/>
                <w:sz w:val="24"/>
                <w:lang w:bidi="ar"/>
              </w:rPr>
              <w:t>）具备国家级安全服务能力，日常运行中的安全可靠存储能力，要求良好的容灾能力，在各类风险，比如自然灾害、网络袭击、人为失误等情况下，保持业务不断，数据不丢</w:t>
            </w:r>
            <w:r>
              <w:rPr>
                <w:rFonts w:hint="eastAsia" w:ascii="楷体" w:hAnsi="楷体" w:eastAsia="楷体" w:cs="楷体"/>
                <w:kern w:val="0"/>
                <w:sz w:val="24"/>
                <w:lang w:eastAsia="zh-CN" w:bidi="ar"/>
              </w:rPr>
              <w:t>，保障数据安全性。</w:t>
            </w:r>
          </w:p>
          <w:p>
            <w:pPr>
              <w:pStyle w:val="2"/>
              <w:spacing w:after="0"/>
              <w:ind w:left="0" w:leftChars="0" w:firstLine="0" w:firstLineChars="0"/>
              <w:jc w:val="left"/>
              <w:rPr>
                <w:rFonts w:hint="eastAsia" w:ascii="楷体" w:hAnsi="楷体" w:eastAsia="楷体" w:cstheme="minorBidi"/>
                <w:kern w:val="0"/>
                <w:sz w:val="24"/>
              </w:rPr>
            </w:pPr>
            <w:r>
              <w:rPr>
                <w:rFonts w:hint="eastAsia" w:ascii="楷体" w:hAnsi="楷体" w:eastAsia="楷体"/>
                <w:kern w:val="0"/>
                <w:sz w:val="24"/>
              </w:rPr>
              <w:t>评分标准：满足信息安全第</w:t>
            </w:r>
            <w:r>
              <w:rPr>
                <w:rFonts w:hint="eastAsia" w:ascii="楷体" w:hAnsi="楷体" w:eastAsia="楷体"/>
                <w:kern w:val="0"/>
                <w:sz w:val="24"/>
                <w:lang w:val="en-US" w:eastAsia="zh-CN"/>
              </w:rPr>
              <w:t>1</w:t>
            </w:r>
            <w:r>
              <w:rPr>
                <w:rFonts w:hint="eastAsia" w:ascii="楷体" w:hAnsi="楷体" w:eastAsia="楷体"/>
                <w:kern w:val="0"/>
                <w:sz w:val="24"/>
              </w:rPr>
              <w:t>条、第</w:t>
            </w:r>
            <w:r>
              <w:rPr>
                <w:rFonts w:hint="eastAsia" w:ascii="楷体" w:hAnsi="楷体" w:eastAsia="楷体"/>
                <w:kern w:val="0"/>
                <w:sz w:val="24"/>
                <w:lang w:val="en-US" w:eastAsia="zh-CN"/>
              </w:rPr>
              <w:t>7</w:t>
            </w:r>
            <w:r>
              <w:rPr>
                <w:rFonts w:hint="eastAsia" w:ascii="楷体" w:hAnsi="楷体" w:eastAsia="楷体"/>
                <w:kern w:val="0"/>
                <w:sz w:val="24"/>
              </w:rPr>
              <w:t>条各得5分，其他条件每增加一条加2分，满分20分。</w:t>
            </w:r>
          </w:p>
        </w:tc>
      </w:tr>
      <w:tr>
        <w:tblPrEx>
          <w:tblCellMar>
            <w:top w:w="0" w:type="dxa"/>
            <w:left w:w="0" w:type="dxa"/>
            <w:bottom w:w="0" w:type="dxa"/>
            <w:right w:w="0" w:type="dxa"/>
          </w:tblCellMar>
        </w:tblPrEx>
        <w:trPr>
          <w:trHeight w:val="705"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楷体" w:hAnsi="楷体" w:eastAsia="楷体"/>
                <w:sz w:val="24"/>
                <w:szCs w:val="24"/>
                <w:lang w:eastAsia="zh-CN"/>
              </w:rPr>
            </w:pPr>
            <w:r>
              <w:rPr>
                <w:rFonts w:hint="eastAsia" w:ascii="楷体" w:hAnsi="楷体" w:eastAsia="楷体"/>
                <w:kern w:val="0"/>
                <w:sz w:val="24"/>
                <w:szCs w:val="24"/>
                <w:lang w:val="en-US" w:eastAsia="zh-CN"/>
              </w:rPr>
              <w:t>3</w:t>
            </w:r>
          </w:p>
        </w:tc>
        <w:tc>
          <w:tcPr>
            <w:tcW w:w="1633"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楷体" w:hAnsi="楷体" w:eastAsia="楷体"/>
                <w:sz w:val="24"/>
                <w:szCs w:val="24"/>
              </w:rPr>
            </w:pPr>
            <w:r>
              <w:rPr>
                <w:rFonts w:hint="eastAsia" w:ascii="楷体" w:hAnsi="楷体" w:eastAsia="楷体"/>
                <w:kern w:val="0"/>
                <w:sz w:val="24"/>
                <w:szCs w:val="24"/>
              </w:rPr>
              <w:t>硬件设备</w:t>
            </w:r>
          </w:p>
        </w:tc>
        <w:tc>
          <w:tcPr>
            <w:tcW w:w="94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default" w:ascii="楷体" w:hAnsi="楷体" w:eastAsia="楷体"/>
                <w:sz w:val="24"/>
                <w:szCs w:val="24"/>
                <w:lang w:val="en-US" w:eastAsia="zh-CN"/>
              </w:rPr>
            </w:pPr>
            <w:r>
              <w:rPr>
                <w:rFonts w:hint="eastAsia" w:ascii="楷体" w:hAnsi="楷体" w:eastAsia="楷体"/>
                <w:kern w:val="0"/>
                <w:sz w:val="24"/>
                <w:szCs w:val="24"/>
                <w:lang w:val="en-US" w:eastAsia="zh-CN"/>
              </w:rPr>
              <w:t>20</w:t>
            </w:r>
          </w:p>
        </w:tc>
        <w:tc>
          <w:tcPr>
            <w:tcW w:w="107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Style w:val="2"/>
              <w:adjustRightInd w:val="0"/>
              <w:snapToGrid w:val="0"/>
              <w:spacing w:after="0"/>
              <w:ind w:left="0" w:leftChars="0" w:firstLine="0" w:firstLineChars="0"/>
              <w:jc w:val="left"/>
              <w:rPr>
                <w:rFonts w:ascii="楷体" w:hAnsi="楷体" w:eastAsia="楷体" w:cs="楷体"/>
                <w:kern w:val="0"/>
                <w:sz w:val="24"/>
                <w:lang w:bidi="ar"/>
              </w:rPr>
            </w:pPr>
            <w:r>
              <w:rPr>
                <w:rFonts w:hint="eastAsia" w:ascii="楷体" w:hAnsi="楷体" w:eastAsia="楷体" w:cs="楷体"/>
                <w:kern w:val="0"/>
                <w:sz w:val="24"/>
                <w:lang w:bidi="ar"/>
              </w:rPr>
              <w:t>数字闸机功能要求：</w:t>
            </w:r>
          </w:p>
          <w:p>
            <w:pPr>
              <w:pStyle w:val="2"/>
              <w:adjustRightInd w:val="0"/>
              <w:snapToGrid w:val="0"/>
              <w:spacing w:after="0"/>
              <w:ind w:left="0" w:leftChars="0" w:firstLine="0" w:firstLineChars="0"/>
              <w:jc w:val="left"/>
              <w:rPr>
                <w:rFonts w:ascii="楷体" w:hAnsi="楷体" w:eastAsia="楷体" w:cs="楷体"/>
                <w:kern w:val="0"/>
                <w:sz w:val="24"/>
                <w:lang w:bidi="ar"/>
              </w:rPr>
            </w:pPr>
            <w:r>
              <w:rPr>
                <w:rFonts w:ascii="楷体" w:hAnsi="楷体" w:eastAsia="楷体" w:cs="楷体"/>
                <w:kern w:val="0"/>
                <w:sz w:val="24"/>
                <w:lang w:bidi="ar"/>
              </w:rPr>
              <w:t>1) 实现</w:t>
            </w:r>
            <w:r>
              <w:rPr>
                <w:rFonts w:hint="eastAsia" w:ascii="楷体" w:hAnsi="楷体" w:eastAsia="楷体" w:cs="楷体"/>
                <w:kern w:val="0"/>
                <w:sz w:val="24"/>
                <w:lang w:bidi="ar"/>
              </w:rPr>
              <w:t>公安比对的</w:t>
            </w:r>
            <w:r>
              <w:rPr>
                <w:rFonts w:ascii="楷体" w:hAnsi="楷体" w:eastAsia="楷体" w:cs="楷体"/>
                <w:kern w:val="0"/>
                <w:sz w:val="24"/>
                <w:lang w:bidi="ar"/>
              </w:rPr>
              <w:t>人脸识别与刷卡（身份证、二维码）通行</w:t>
            </w:r>
          </w:p>
          <w:p>
            <w:pPr>
              <w:pStyle w:val="2"/>
              <w:adjustRightInd w:val="0"/>
              <w:snapToGrid w:val="0"/>
              <w:spacing w:after="0"/>
              <w:ind w:left="0" w:leftChars="0" w:firstLine="0" w:firstLineChars="0"/>
              <w:jc w:val="left"/>
              <w:rPr>
                <w:rFonts w:ascii="楷体" w:hAnsi="楷体" w:eastAsia="楷体" w:cs="楷体"/>
                <w:kern w:val="0"/>
                <w:sz w:val="24"/>
                <w:lang w:bidi="ar"/>
              </w:rPr>
            </w:pPr>
            <w:r>
              <w:rPr>
                <w:rFonts w:ascii="楷体" w:hAnsi="楷体" w:eastAsia="楷体" w:cs="楷体"/>
                <w:kern w:val="0"/>
                <w:sz w:val="24"/>
                <w:lang w:bidi="ar"/>
              </w:rPr>
              <w:t>2）非法进入有报警提示功能；</w:t>
            </w:r>
          </w:p>
          <w:p>
            <w:pPr>
              <w:pStyle w:val="2"/>
              <w:adjustRightInd w:val="0"/>
              <w:snapToGrid w:val="0"/>
              <w:spacing w:after="0"/>
              <w:ind w:left="0" w:leftChars="0" w:firstLine="0" w:firstLineChars="0"/>
              <w:jc w:val="left"/>
              <w:rPr>
                <w:rFonts w:ascii="楷体" w:hAnsi="楷体" w:eastAsia="楷体" w:cs="楷体"/>
                <w:kern w:val="0"/>
                <w:sz w:val="24"/>
                <w:lang w:bidi="ar"/>
              </w:rPr>
            </w:pPr>
            <w:r>
              <w:rPr>
                <w:rFonts w:hint="eastAsia" w:ascii="楷体" w:hAnsi="楷体" w:eastAsia="楷体" w:cs="楷体"/>
                <w:kern w:val="0"/>
                <w:sz w:val="24"/>
                <w:lang w:val="en-US" w:eastAsia="zh-CN" w:bidi="ar"/>
              </w:rPr>
              <w:t>3</w:t>
            </w:r>
            <w:r>
              <w:rPr>
                <w:rFonts w:ascii="楷体" w:hAnsi="楷体" w:eastAsia="楷体" w:cs="楷体"/>
                <w:kern w:val="0"/>
                <w:sz w:val="24"/>
                <w:lang w:bidi="ar"/>
              </w:rPr>
              <w:t>）</w:t>
            </w:r>
            <w:r>
              <w:rPr>
                <w:rFonts w:hint="eastAsia" w:ascii="楷体" w:hAnsi="楷体" w:eastAsia="楷体" w:cs="楷体"/>
                <w:kern w:val="0"/>
                <w:sz w:val="24"/>
                <w:lang w:bidi="ar"/>
              </w:rPr>
              <w:t>具备</w:t>
            </w:r>
            <w:r>
              <w:rPr>
                <w:rFonts w:ascii="楷体" w:hAnsi="楷体" w:eastAsia="楷体" w:cs="楷体"/>
                <w:kern w:val="0"/>
                <w:sz w:val="24"/>
                <w:lang w:bidi="ar"/>
              </w:rPr>
              <w:t>防冲撞</w:t>
            </w:r>
            <w:r>
              <w:rPr>
                <w:rFonts w:hint="eastAsia" w:ascii="楷体" w:hAnsi="楷体" w:eastAsia="楷体" w:cs="楷体"/>
                <w:kern w:val="0"/>
                <w:sz w:val="24"/>
                <w:lang w:bidi="ar"/>
              </w:rPr>
              <w:t>、防夹、自动复位等</w:t>
            </w:r>
            <w:r>
              <w:rPr>
                <w:rFonts w:ascii="楷体" w:hAnsi="楷体" w:eastAsia="楷体" w:cs="楷体"/>
                <w:kern w:val="0"/>
                <w:sz w:val="24"/>
                <w:lang w:bidi="ar"/>
              </w:rPr>
              <w:t>功能</w:t>
            </w:r>
            <w:r>
              <w:rPr>
                <w:rFonts w:hint="eastAsia" w:ascii="楷体" w:hAnsi="楷体" w:eastAsia="楷体" w:cs="楷体"/>
                <w:kern w:val="0"/>
                <w:sz w:val="24"/>
                <w:lang w:bidi="ar"/>
              </w:rPr>
              <w:t>，</w:t>
            </w:r>
            <w:r>
              <w:rPr>
                <w:rFonts w:ascii="楷体" w:hAnsi="楷体" w:eastAsia="楷体" w:cs="楷体"/>
                <w:kern w:val="0"/>
                <w:sz w:val="24"/>
                <w:lang w:bidi="ar"/>
              </w:rPr>
              <w:t>可单向或双向控制人员进出；</w:t>
            </w:r>
          </w:p>
          <w:p>
            <w:pPr>
              <w:pStyle w:val="2"/>
              <w:adjustRightInd w:val="0"/>
              <w:snapToGrid w:val="0"/>
              <w:spacing w:after="0"/>
              <w:ind w:left="0" w:leftChars="0" w:firstLine="0" w:firstLineChars="0"/>
              <w:jc w:val="left"/>
              <w:rPr>
                <w:rFonts w:ascii="楷体" w:hAnsi="楷体" w:eastAsia="楷体" w:cs="楷体"/>
                <w:kern w:val="0"/>
                <w:sz w:val="24"/>
                <w:lang w:bidi="ar"/>
              </w:rPr>
            </w:pPr>
            <w:r>
              <w:rPr>
                <w:rFonts w:hint="eastAsia" w:ascii="楷体" w:hAnsi="楷体" w:eastAsia="楷体" w:cs="楷体"/>
                <w:kern w:val="0"/>
                <w:sz w:val="24"/>
                <w:lang w:bidi="ar"/>
              </w:rPr>
              <w:t>4</w:t>
            </w:r>
            <w:r>
              <w:rPr>
                <w:rFonts w:ascii="楷体" w:hAnsi="楷体" w:eastAsia="楷体" w:cs="楷体"/>
                <w:kern w:val="0"/>
                <w:sz w:val="24"/>
                <w:lang w:bidi="ar"/>
              </w:rPr>
              <w:t>）断电通道自动常开，上电自动闭合；</w:t>
            </w:r>
          </w:p>
          <w:p>
            <w:pPr>
              <w:pStyle w:val="2"/>
              <w:adjustRightInd w:val="0"/>
              <w:snapToGrid w:val="0"/>
              <w:spacing w:after="0"/>
              <w:ind w:left="0" w:leftChars="0" w:firstLine="0" w:firstLineChars="0"/>
              <w:jc w:val="left"/>
              <w:rPr>
                <w:rFonts w:ascii="楷体" w:hAnsi="楷体" w:eastAsia="楷体" w:cs="楷体"/>
                <w:kern w:val="0"/>
                <w:sz w:val="24"/>
                <w:lang w:bidi="ar"/>
              </w:rPr>
            </w:pPr>
            <w:r>
              <w:rPr>
                <w:rFonts w:hint="eastAsia" w:ascii="楷体" w:hAnsi="楷体" w:eastAsia="楷体" w:cs="楷体"/>
                <w:kern w:val="0"/>
                <w:sz w:val="24"/>
                <w:lang w:bidi="ar"/>
              </w:rPr>
              <w:t>5</w:t>
            </w:r>
            <w:r>
              <w:rPr>
                <w:rFonts w:ascii="楷体" w:hAnsi="楷体" w:eastAsia="楷体" w:cs="楷体"/>
                <w:kern w:val="0"/>
                <w:sz w:val="24"/>
                <w:lang w:bidi="ar"/>
              </w:rPr>
              <w:t>）报警功能：含非法闯入、尾随报警；</w:t>
            </w:r>
          </w:p>
          <w:p>
            <w:pPr>
              <w:pStyle w:val="2"/>
              <w:adjustRightInd w:val="0"/>
              <w:snapToGrid w:val="0"/>
              <w:spacing w:after="0"/>
              <w:ind w:left="0" w:leftChars="0" w:firstLine="0" w:firstLineChars="0"/>
              <w:jc w:val="left"/>
              <w:rPr>
                <w:rFonts w:ascii="楷体" w:hAnsi="楷体" w:eastAsia="楷体" w:cs="楷体"/>
                <w:kern w:val="0"/>
                <w:sz w:val="24"/>
                <w:lang w:bidi="ar"/>
              </w:rPr>
            </w:pPr>
            <w:r>
              <w:rPr>
                <w:rFonts w:hint="eastAsia" w:ascii="楷体" w:hAnsi="楷体" w:eastAsia="楷体" w:cs="楷体"/>
                <w:kern w:val="0"/>
                <w:sz w:val="24"/>
                <w:lang w:bidi="ar"/>
              </w:rPr>
              <w:t>6</w:t>
            </w:r>
            <w:r>
              <w:rPr>
                <w:rFonts w:ascii="楷体" w:hAnsi="楷体" w:eastAsia="楷体" w:cs="楷体"/>
                <w:kern w:val="0"/>
                <w:sz w:val="24"/>
                <w:lang w:bidi="ar"/>
              </w:rPr>
              <w:t>）统一标准的对外电气接口，通过管理计算机</w:t>
            </w:r>
            <w:r>
              <w:rPr>
                <w:rFonts w:hint="eastAsia" w:ascii="楷体" w:hAnsi="楷体" w:eastAsia="楷体" w:cs="楷体"/>
                <w:kern w:val="0"/>
                <w:sz w:val="24"/>
                <w:lang w:bidi="ar"/>
              </w:rPr>
              <w:t>可</w:t>
            </w:r>
            <w:r>
              <w:rPr>
                <w:rFonts w:ascii="楷体" w:hAnsi="楷体" w:eastAsia="楷体" w:cs="楷体"/>
                <w:kern w:val="0"/>
                <w:sz w:val="24"/>
                <w:lang w:bidi="ar"/>
              </w:rPr>
              <w:t>实现远程控制与管理；</w:t>
            </w:r>
          </w:p>
          <w:p>
            <w:pPr>
              <w:pStyle w:val="2"/>
              <w:adjustRightInd w:val="0"/>
              <w:snapToGrid w:val="0"/>
              <w:spacing w:after="0"/>
              <w:ind w:left="0" w:leftChars="0" w:firstLine="0" w:firstLineChars="0"/>
              <w:jc w:val="left"/>
              <w:rPr>
                <w:rFonts w:ascii="楷体" w:hAnsi="楷体" w:eastAsia="楷体" w:cs="楷体"/>
                <w:kern w:val="0"/>
                <w:sz w:val="24"/>
                <w:lang w:bidi="ar"/>
              </w:rPr>
            </w:pPr>
            <w:r>
              <w:rPr>
                <w:rFonts w:hint="eastAsia" w:ascii="楷体" w:hAnsi="楷体" w:eastAsia="楷体" w:cs="楷体"/>
                <w:kern w:val="0"/>
                <w:sz w:val="24"/>
                <w:lang w:bidi="ar"/>
              </w:rPr>
              <w:t>7</w:t>
            </w:r>
            <w:r>
              <w:rPr>
                <w:rFonts w:ascii="楷体" w:hAnsi="楷体" w:eastAsia="楷体" w:cs="楷体"/>
                <w:kern w:val="0"/>
                <w:sz w:val="24"/>
                <w:lang w:bidi="ar"/>
              </w:rPr>
              <w:t>）</w:t>
            </w:r>
            <w:r>
              <w:rPr>
                <w:rFonts w:hint="eastAsia" w:ascii="楷体" w:hAnsi="楷体" w:eastAsia="楷体" w:cs="楷体"/>
                <w:kern w:val="0"/>
                <w:sz w:val="24"/>
                <w:lang w:bidi="ar"/>
              </w:rPr>
              <w:t>设备具有持续更新能力。</w:t>
            </w:r>
          </w:p>
          <w:p>
            <w:pPr>
              <w:pStyle w:val="2"/>
              <w:adjustRightInd w:val="0"/>
              <w:snapToGrid w:val="0"/>
              <w:spacing w:after="0"/>
              <w:ind w:left="0" w:leftChars="0" w:firstLine="0" w:firstLineChars="0"/>
              <w:jc w:val="left"/>
              <w:rPr>
                <w:rFonts w:ascii="楷体" w:hAnsi="楷体" w:eastAsia="楷体" w:cs="楷体"/>
                <w:kern w:val="0"/>
                <w:sz w:val="24"/>
                <w:lang w:bidi="ar"/>
              </w:rPr>
            </w:pPr>
            <w:r>
              <w:rPr>
                <w:rFonts w:hint="eastAsia" w:ascii="楷体" w:hAnsi="楷体" w:eastAsia="楷体" w:cs="楷体"/>
                <w:kern w:val="0"/>
                <w:sz w:val="24"/>
                <w:lang w:bidi="ar"/>
              </w:rPr>
              <w:t>票证机功能要求：</w:t>
            </w:r>
          </w:p>
          <w:p>
            <w:pPr>
              <w:pStyle w:val="2"/>
              <w:numPr>
                <w:ilvl w:val="0"/>
                <w:numId w:val="5"/>
              </w:numPr>
              <w:adjustRightInd w:val="0"/>
              <w:snapToGrid w:val="0"/>
              <w:spacing w:after="0"/>
              <w:ind w:left="0" w:leftChars="0" w:firstLine="0" w:firstLineChars="0"/>
              <w:jc w:val="left"/>
              <w:rPr>
                <w:rFonts w:ascii="楷体" w:hAnsi="楷体" w:eastAsia="楷体" w:cs="楷体"/>
                <w:kern w:val="0"/>
                <w:sz w:val="24"/>
                <w:lang w:bidi="ar"/>
              </w:rPr>
            </w:pPr>
            <w:r>
              <w:rPr>
                <w:rFonts w:hint="eastAsia" w:ascii="楷体" w:hAnsi="楷体" w:eastAsia="楷体" w:cs="楷体"/>
                <w:kern w:val="0"/>
                <w:sz w:val="24"/>
                <w:lang w:bidi="ar"/>
              </w:rPr>
              <w:t>支持身份证、驾照、护照、港澳通行证、台胞证、行驶证等多种身份证件图像采集与信息识别;</w:t>
            </w:r>
          </w:p>
          <w:p>
            <w:pPr>
              <w:pStyle w:val="2"/>
              <w:numPr>
                <w:ilvl w:val="0"/>
                <w:numId w:val="5"/>
              </w:numPr>
              <w:adjustRightInd w:val="0"/>
              <w:snapToGrid w:val="0"/>
              <w:spacing w:after="0"/>
              <w:ind w:left="0" w:leftChars="0" w:firstLine="0" w:firstLineChars="0"/>
              <w:jc w:val="left"/>
              <w:rPr>
                <w:rFonts w:ascii="楷体" w:hAnsi="楷体" w:eastAsia="楷体" w:cs="楷体"/>
                <w:kern w:val="0"/>
                <w:sz w:val="24"/>
                <w:lang w:bidi="ar"/>
              </w:rPr>
            </w:pPr>
            <w:r>
              <w:rPr>
                <w:rFonts w:ascii="楷体" w:hAnsi="楷体" w:eastAsia="楷体" w:cs="楷体"/>
                <w:kern w:val="0"/>
                <w:sz w:val="24"/>
                <w:lang w:bidi="ar"/>
              </w:rPr>
              <w:t>支持识读1D条形码，Code 128, Code 39，EAN-13 等支持识读 2D 条码，PDF 417，QR，DataMatrix™ 等</w:t>
            </w:r>
            <w:r>
              <w:rPr>
                <w:rFonts w:hint="eastAsia" w:ascii="楷体" w:hAnsi="楷体" w:eastAsia="楷体" w:cs="楷体"/>
                <w:kern w:val="0"/>
                <w:sz w:val="24"/>
                <w:lang w:bidi="ar"/>
              </w:rPr>
              <w:t>;</w:t>
            </w:r>
          </w:p>
          <w:p>
            <w:pPr>
              <w:pStyle w:val="2"/>
              <w:numPr>
                <w:ilvl w:val="0"/>
                <w:numId w:val="5"/>
              </w:numPr>
              <w:adjustRightInd w:val="0"/>
              <w:snapToGrid w:val="0"/>
              <w:spacing w:after="0"/>
              <w:ind w:left="0" w:leftChars="0" w:firstLine="0" w:firstLineChars="0"/>
              <w:jc w:val="left"/>
              <w:rPr>
                <w:rFonts w:ascii="楷体" w:hAnsi="楷体" w:eastAsia="楷体" w:cs="楷体"/>
                <w:kern w:val="0"/>
                <w:sz w:val="24"/>
                <w:lang w:bidi="ar"/>
              </w:rPr>
            </w:pPr>
            <w:r>
              <w:rPr>
                <w:rFonts w:ascii="楷体" w:hAnsi="楷体" w:eastAsia="楷体" w:cs="楷体"/>
                <w:kern w:val="0"/>
                <w:sz w:val="24"/>
                <w:lang w:bidi="ar"/>
              </w:rPr>
              <w:t>可对护照证件全版资料页进行24位清晰彩色拍照</w:t>
            </w:r>
            <w:r>
              <w:rPr>
                <w:rFonts w:hint="eastAsia" w:ascii="楷体" w:hAnsi="楷体" w:eastAsia="楷体" w:cs="楷体"/>
                <w:kern w:val="0"/>
                <w:sz w:val="24"/>
                <w:lang w:eastAsia="zh-CN" w:bidi="ar"/>
              </w:rPr>
              <w:t>。</w:t>
            </w:r>
            <w:r>
              <w:rPr>
                <w:rFonts w:ascii="楷体" w:hAnsi="楷体" w:eastAsia="楷体" w:cs="楷体"/>
                <w:kern w:val="0"/>
                <w:sz w:val="24"/>
                <w:lang w:bidi="ar"/>
              </w:rPr>
              <w:t xml:space="preserve"> </w:t>
            </w:r>
          </w:p>
          <w:p>
            <w:pPr>
              <w:pStyle w:val="2"/>
              <w:adjustRightInd w:val="0"/>
              <w:snapToGrid w:val="0"/>
              <w:spacing w:after="0"/>
              <w:ind w:left="0" w:leftChars="0" w:firstLine="0" w:firstLineChars="0"/>
              <w:jc w:val="left"/>
              <w:rPr>
                <w:rFonts w:ascii="楷体" w:hAnsi="楷体" w:eastAsia="楷体" w:cs="楷体"/>
                <w:kern w:val="0"/>
                <w:sz w:val="24"/>
                <w:lang w:bidi="ar"/>
              </w:rPr>
            </w:pPr>
            <w:r>
              <w:rPr>
                <w:rFonts w:hint="eastAsia" w:ascii="楷体" w:hAnsi="楷体" w:eastAsia="楷体" w:cs="楷体"/>
                <w:kern w:val="0"/>
                <w:sz w:val="24"/>
                <w:lang w:bidi="ar"/>
              </w:rPr>
              <w:t>评分标准：每符合一条得</w:t>
            </w:r>
            <w:r>
              <w:rPr>
                <w:rFonts w:hint="eastAsia" w:ascii="楷体" w:hAnsi="楷体" w:eastAsia="楷体" w:cs="楷体"/>
                <w:kern w:val="0"/>
                <w:sz w:val="24"/>
                <w:lang w:val="en-US" w:eastAsia="zh-CN" w:bidi="ar"/>
              </w:rPr>
              <w:t>1.5</w:t>
            </w:r>
            <w:r>
              <w:rPr>
                <w:rFonts w:hint="eastAsia" w:ascii="楷体" w:hAnsi="楷体" w:eastAsia="楷体" w:cs="楷体"/>
                <w:kern w:val="0"/>
                <w:sz w:val="24"/>
                <w:lang w:bidi="ar"/>
              </w:rPr>
              <w:t>分，不符合不得分，其他功能每增加一条加</w:t>
            </w:r>
            <w:r>
              <w:rPr>
                <w:rFonts w:hint="eastAsia" w:ascii="楷体" w:hAnsi="楷体" w:eastAsia="楷体" w:cs="楷体"/>
                <w:kern w:val="0"/>
                <w:sz w:val="24"/>
                <w:lang w:val="en-US" w:eastAsia="zh-CN" w:bidi="ar"/>
              </w:rPr>
              <w:t>0.5</w:t>
            </w:r>
            <w:r>
              <w:rPr>
                <w:rFonts w:hint="eastAsia" w:ascii="楷体" w:hAnsi="楷体" w:eastAsia="楷体" w:cs="楷体"/>
                <w:kern w:val="0"/>
                <w:sz w:val="24"/>
                <w:lang w:bidi="ar"/>
              </w:rPr>
              <w:t>分，满分20分。</w:t>
            </w:r>
          </w:p>
        </w:tc>
      </w:tr>
      <w:tr>
        <w:tblPrEx>
          <w:tblCellMar>
            <w:top w:w="0" w:type="dxa"/>
            <w:left w:w="0" w:type="dxa"/>
            <w:bottom w:w="0" w:type="dxa"/>
            <w:right w:w="0" w:type="dxa"/>
          </w:tblCellMar>
        </w:tblPrEx>
        <w:trPr>
          <w:trHeight w:val="706"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楷体" w:hAnsi="楷体" w:eastAsia="楷体"/>
                <w:kern w:val="0"/>
                <w:sz w:val="24"/>
                <w:szCs w:val="24"/>
                <w:lang w:val="en-US" w:eastAsia="zh-CN"/>
              </w:rPr>
            </w:pPr>
            <w:r>
              <w:rPr>
                <w:rFonts w:hint="eastAsia" w:ascii="楷体" w:hAnsi="楷体" w:eastAsia="楷体"/>
                <w:kern w:val="0"/>
                <w:sz w:val="24"/>
                <w:szCs w:val="24"/>
                <w:lang w:val="en-US" w:eastAsia="zh-CN"/>
              </w:rPr>
              <w:t>4</w:t>
            </w:r>
          </w:p>
        </w:tc>
        <w:tc>
          <w:tcPr>
            <w:tcW w:w="1633"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楷体" w:hAnsi="楷体" w:eastAsia="楷体"/>
                <w:kern w:val="0"/>
                <w:sz w:val="24"/>
                <w:szCs w:val="24"/>
              </w:rPr>
            </w:pPr>
            <w:r>
              <w:rPr>
                <w:rFonts w:hint="eastAsia" w:ascii="楷体" w:hAnsi="楷体" w:eastAsia="楷体"/>
                <w:kern w:val="0"/>
                <w:sz w:val="24"/>
                <w:szCs w:val="24"/>
              </w:rPr>
              <w:t>企业资质</w:t>
            </w:r>
          </w:p>
        </w:tc>
        <w:tc>
          <w:tcPr>
            <w:tcW w:w="94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default" w:ascii="楷体" w:hAnsi="楷体" w:eastAsia="楷体"/>
                <w:kern w:val="0"/>
                <w:sz w:val="24"/>
                <w:szCs w:val="24"/>
                <w:lang w:val="en-US" w:eastAsia="zh-CN"/>
              </w:rPr>
            </w:pPr>
            <w:r>
              <w:rPr>
                <w:rFonts w:hint="eastAsia" w:ascii="楷体" w:hAnsi="楷体" w:eastAsia="楷体"/>
                <w:kern w:val="0"/>
                <w:sz w:val="24"/>
                <w:szCs w:val="24"/>
                <w:lang w:val="en-US" w:eastAsia="zh-CN"/>
              </w:rPr>
              <w:t>10</w:t>
            </w:r>
          </w:p>
        </w:tc>
        <w:tc>
          <w:tcPr>
            <w:tcW w:w="107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Style w:val="2"/>
              <w:spacing w:after="0"/>
              <w:ind w:left="0" w:leftChars="0" w:firstLine="0" w:firstLineChars="0"/>
              <w:jc w:val="left"/>
              <w:rPr>
                <w:rFonts w:ascii="楷体" w:hAnsi="楷体" w:eastAsia="楷体" w:cs="楷体"/>
                <w:kern w:val="0"/>
                <w:sz w:val="24"/>
                <w:lang w:bidi="ar"/>
              </w:rPr>
            </w:pPr>
            <w:r>
              <w:rPr>
                <w:rFonts w:hint="eastAsia" w:ascii="楷体" w:hAnsi="楷体" w:eastAsia="楷体" w:cs="楷体"/>
                <w:kern w:val="0"/>
                <w:sz w:val="24"/>
                <w:lang w:bidi="ar"/>
              </w:rPr>
              <w:t>1）服务商应是按照中华人民共和国有关法律法规在国内设立的企业，并具备合格有效的工商营业执照，具有独立法人资格，独立承担民事责任的能力；</w:t>
            </w:r>
          </w:p>
          <w:p>
            <w:pPr>
              <w:pStyle w:val="2"/>
              <w:spacing w:after="0"/>
              <w:ind w:left="0" w:leftChars="0" w:firstLine="0" w:firstLineChars="0"/>
              <w:jc w:val="left"/>
              <w:rPr>
                <w:rFonts w:ascii="楷体" w:hAnsi="楷体" w:eastAsia="楷体" w:cs="楷体"/>
                <w:kern w:val="0"/>
                <w:sz w:val="24"/>
                <w:lang w:bidi="ar"/>
              </w:rPr>
            </w:pPr>
            <w:r>
              <w:rPr>
                <w:rFonts w:hint="eastAsia" w:ascii="楷体" w:hAnsi="楷体" w:eastAsia="楷体" w:cs="楷体"/>
                <w:kern w:val="0"/>
                <w:sz w:val="24"/>
                <w:lang w:bidi="ar"/>
              </w:rPr>
              <w:t>2）应具有良好的经营业绩和银行资信状况，遵守国家法律法规，具有很好的商业信誉。</w:t>
            </w:r>
          </w:p>
          <w:p>
            <w:pPr>
              <w:pStyle w:val="2"/>
              <w:spacing w:after="0"/>
              <w:ind w:left="0" w:leftChars="0" w:firstLine="0" w:firstLineChars="0"/>
              <w:jc w:val="left"/>
              <w:rPr>
                <w:rFonts w:ascii="楷体" w:hAnsi="楷体" w:eastAsia="楷体" w:cs="楷体"/>
                <w:kern w:val="0"/>
                <w:sz w:val="24"/>
                <w:lang w:bidi="ar"/>
              </w:rPr>
            </w:pPr>
            <w:r>
              <w:rPr>
                <w:rFonts w:hint="eastAsia" w:ascii="楷体" w:hAnsi="楷体" w:eastAsia="楷体" w:cs="楷体"/>
                <w:kern w:val="0"/>
                <w:sz w:val="24"/>
                <w:lang w:bidi="ar"/>
              </w:rPr>
              <w:t>3）应具有先进完整的</w:t>
            </w:r>
            <w:r>
              <w:rPr>
                <w:rFonts w:hint="eastAsia" w:ascii="楷体" w:hAnsi="楷体" w:eastAsia="楷体" w:cs="楷体"/>
                <w:kern w:val="0"/>
                <w:sz w:val="24"/>
                <w:lang w:val="en-US" w:eastAsia="zh-CN" w:bidi="ar"/>
              </w:rPr>
              <w:t>安全</w:t>
            </w:r>
            <w:r>
              <w:rPr>
                <w:rFonts w:hint="eastAsia" w:ascii="楷体" w:hAnsi="楷体" w:eastAsia="楷体" w:cs="楷体"/>
                <w:kern w:val="0"/>
                <w:sz w:val="24"/>
                <w:lang w:bidi="ar"/>
              </w:rPr>
              <w:t>服务体系（包含软硬件）；</w:t>
            </w:r>
          </w:p>
          <w:p>
            <w:pPr>
              <w:pStyle w:val="2"/>
              <w:spacing w:after="0"/>
              <w:ind w:left="0" w:leftChars="0" w:firstLine="0" w:firstLineChars="0"/>
              <w:jc w:val="left"/>
              <w:rPr>
                <w:rFonts w:ascii="楷体" w:hAnsi="楷体" w:eastAsia="楷体" w:cs="楷体"/>
                <w:kern w:val="0"/>
                <w:sz w:val="24"/>
                <w:lang w:bidi="ar"/>
              </w:rPr>
            </w:pPr>
            <w:r>
              <w:rPr>
                <w:rFonts w:ascii="楷体" w:hAnsi="楷体" w:eastAsia="楷体" w:cs="楷体"/>
                <w:kern w:val="0"/>
                <w:sz w:val="24"/>
                <w:lang w:bidi="ar"/>
              </w:rPr>
              <w:t>4</w:t>
            </w:r>
            <w:r>
              <w:rPr>
                <w:rFonts w:hint="eastAsia" w:ascii="楷体" w:hAnsi="楷体" w:eastAsia="楷体" w:cs="楷体"/>
                <w:kern w:val="0"/>
                <w:sz w:val="24"/>
                <w:lang w:bidi="ar"/>
              </w:rPr>
              <w:t>）服务后台软件应具有</w:t>
            </w:r>
            <w:r>
              <w:rPr>
                <w:rFonts w:hint="eastAsia" w:ascii="楷体" w:hAnsi="楷体" w:eastAsia="楷体" w:cs="楷体"/>
                <w:kern w:val="0"/>
                <w:sz w:val="24"/>
                <w:lang w:val="en-US" w:eastAsia="zh-CN" w:bidi="ar"/>
              </w:rPr>
              <w:t>公共安全</w:t>
            </w:r>
            <w:r>
              <w:rPr>
                <w:rFonts w:hint="eastAsia" w:ascii="楷体" w:hAnsi="楷体" w:eastAsia="楷体" w:cs="楷体"/>
                <w:kern w:val="0"/>
                <w:sz w:val="24"/>
                <w:lang w:bidi="ar"/>
              </w:rPr>
              <w:t>相关的软件著作权或知识产权。</w:t>
            </w:r>
          </w:p>
          <w:p>
            <w:pPr>
              <w:pStyle w:val="2"/>
              <w:spacing w:after="0"/>
              <w:ind w:left="0" w:leftChars="0" w:firstLine="0" w:firstLineChars="0"/>
              <w:jc w:val="left"/>
              <w:rPr>
                <w:rFonts w:hint="eastAsia" w:ascii="楷体" w:hAnsi="楷体" w:eastAsia="楷体" w:cs="楷体"/>
                <w:kern w:val="0"/>
                <w:sz w:val="24"/>
                <w:lang w:bidi="ar"/>
              </w:rPr>
            </w:pPr>
            <w:r>
              <w:rPr>
                <w:rFonts w:hint="eastAsia" w:ascii="楷体" w:hAnsi="楷体" w:eastAsia="楷体"/>
                <w:kern w:val="0"/>
                <w:sz w:val="24"/>
              </w:rPr>
              <w:t>评分标准：满足</w:t>
            </w:r>
            <w:r>
              <w:rPr>
                <w:rFonts w:hint="eastAsia" w:ascii="楷体" w:hAnsi="楷体" w:eastAsia="楷体"/>
                <w:kern w:val="0"/>
                <w:sz w:val="24"/>
                <w:lang w:val="en-US" w:eastAsia="zh-CN"/>
              </w:rPr>
              <w:t>一</w:t>
            </w:r>
            <w:r>
              <w:rPr>
                <w:rFonts w:hint="eastAsia" w:ascii="楷体" w:hAnsi="楷体" w:eastAsia="楷体"/>
                <w:kern w:val="0"/>
                <w:sz w:val="24"/>
              </w:rPr>
              <w:t>条得</w:t>
            </w:r>
            <w:r>
              <w:rPr>
                <w:rFonts w:hint="eastAsia" w:ascii="楷体" w:hAnsi="楷体" w:eastAsia="楷体"/>
                <w:kern w:val="0"/>
                <w:sz w:val="24"/>
                <w:lang w:val="en-US" w:eastAsia="zh-CN"/>
              </w:rPr>
              <w:t>2</w:t>
            </w:r>
            <w:r>
              <w:rPr>
                <w:rFonts w:hint="eastAsia" w:ascii="楷体" w:hAnsi="楷体" w:eastAsia="楷体"/>
                <w:kern w:val="0"/>
                <w:sz w:val="24"/>
              </w:rPr>
              <w:t>分，</w:t>
            </w:r>
            <w:r>
              <w:rPr>
                <w:rFonts w:hint="eastAsia" w:ascii="楷体" w:hAnsi="楷体" w:eastAsia="楷体"/>
                <w:kern w:val="0"/>
                <w:sz w:val="24"/>
                <w:lang w:val="en-US" w:eastAsia="zh-CN"/>
              </w:rPr>
              <w:t>每增加一条应急安全相关资质或证明得1分，</w:t>
            </w:r>
            <w:r>
              <w:rPr>
                <w:rFonts w:hint="eastAsia" w:ascii="楷体" w:hAnsi="楷体" w:eastAsia="楷体"/>
                <w:kern w:val="0"/>
                <w:sz w:val="24"/>
              </w:rPr>
              <w:t>满分1</w:t>
            </w:r>
            <w:r>
              <w:rPr>
                <w:rFonts w:hint="eastAsia" w:ascii="楷体" w:hAnsi="楷体" w:eastAsia="楷体"/>
                <w:kern w:val="0"/>
                <w:sz w:val="24"/>
                <w:lang w:val="en-US" w:eastAsia="zh-CN"/>
              </w:rPr>
              <w:t>0</w:t>
            </w:r>
            <w:r>
              <w:rPr>
                <w:rFonts w:hint="eastAsia" w:ascii="楷体" w:hAnsi="楷体" w:eastAsia="楷体"/>
                <w:kern w:val="0"/>
                <w:sz w:val="24"/>
              </w:rPr>
              <w:t>分。</w:t>
            </w:r>
          </w:p>
        </w:tc>
      </w:tr>
      <w:tr>
        <w:tblPrEx>
          <w:tblCellMar>
            <w:top w:w="0" w:type="dxa"/>
            <w:left w:w="0" w:type="dxa"/>
            <w:bottom w:w="0" w:type="dxa"/>
            <w:right w:w="0" w:type="dxa"/>
          </w:tblCellMar>
        </w:tblPrEx>
        <w:trPr>
          <w:trHeight w:val="535" w:hRule="atLeast"/>
        </w:trPr>
        <w:tc>
          <w:tcPr>
            <w:tcW w:w="711" w:type="dxa"/>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楷体" w:hAnsi="楷体" w:eastAsia="楷体"/>
                <w:sz w:val="24"/>
                <w:szCs w:val="24"/>
                <w:lang w:eastAsia="zh-CN"/>
              </w:rPr>
            </w:pPr>
            <w:r>
              <w:rPr>
                <w:rFonts w:hint="eastAsia" w:ascii="楷体" w:hAnsi="楷体" w:eastAsia="楷体"/>
                <w:kern w:val="0"/>
                <w:sz w:val="24"/>
                <w:szCs w:val="24"/>
                <w:lang w:val="en-US" w:eastAsia="zh-CN"/>
              </w:rPr>
              <w:t>5</w:t>
            </w:r>
          </w:p>
        </w:tc>
        <w:tc>
          <w:tcPr>
            <w:tcW w:w="1633"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楷体" w:hAnsi="楷体" w:eastAsia="楷体"/>
                <w:sz w:val="24"/>
                <w:szCs w:val="24"/>
              </w:rPr>
            </w:pPr>
            <w:r>
              <w:rPr>
                <w:rFonts w:hint="eastAsia" w:ascii="楷体" w:hAnsi="楷体" w:eastAsia="楷体"/>
                <w:kern w:val="0"/>
                <w:sz w:val="24"/>
                <w:szCs w:val="24"/>
              </w:rPr>
              <w:t>人员配备</w:t>
            </w:r>
          </w:p>
        </w:tc>
        <w:tc>
          <w:tcPr>
            <w:tcW w:w="942" w:type="dxa"/>
            <w:tcBorders>
              <w:top w:val="single" w:color="000000" w:sz="4" w:space="0"/>
              <w:left w:val="nil"/>
              <w:right w:val="single" w:color="000000" w:sz="4" w:space="0"/>
            </w:tcBorders>
            <w:noWrap/>
            <w:tcMar>
              <w:top w:w="15" w:type="dxa"/>
              <w:left w:w="15" w:type="dxa"/>
              <w:bottom w:w="0" w:type="dxa"/>
              <w:right w:w="15" w:type="dxa"/>
            </w:tcMar>
            <w:vAlign w:val="center"/>
          </w:tcPr>
          <w:p>
            <w:pPr>
              <w:jc w:val="center"/>
              <w:textAlignment w:val="center"/>
              <w:rPr>
                <w:rFonts w:hint="eastAsia" w:ascii="楷体" w:hAnsi="楷体" w:eastAsia="楷体"/>
                <w:sz w:val="24"/>
                <w:szCs w:val="24"/>
                <w:lang w:eastAsia="zh-CN"/>
              </w:rPr>
            </w:pPr>
            <w:r>
              <w:rPr>
                <w:rFonts w:hint="eastAsia" w:ascii="楷体" w:hAnsi="楷体" w:eastAsia="楷体"/>
                <w:kern w:val="0"/>
                <w:sz w:val="24"/>
                <w:szCs w:val="24"/>
                <w:lang w:val="en-US" w:eastAsia="zh-CN"/>
              </w:rPr>
              <w:t>5</w:t>
            </w:r>
          </w:p>
        </w:tc>
        <w:tc>
          <w:tcPr>
            <w:tcW w:w="10752" w:type="dxa"/>
            <w:tcBorders>
              <w:top w:val="single" w:color="000000" w:sz="4" w:space="0"/>
              <w:left w:val="nil"/>
              <w:right w:val="single" w:color="000000" w:sz="4" w:space="0"/>
            </w:tcBorders>
            <w:tcMar>
              <w:top w:w="15" w:type="dxa"/>
              <w:left w:w="15" w:type="dxa"/>
              <w:bottom w:w="0" w:type="dxa"/>
              <w:right w:w="15" w:type="dxa"/>
            </w:tcMar>
            <w:vAlign w:val="center"/>
          </w:tcPr>
          <w:p>
            <w:pPr>
              <w:pStyle w:val="2"/>
              <w:snapToGrid w:val="0"/>
              <w:spacing w:after="0"/>
              <w:ind w:left="0" w:leftChars="0" w:firstLine="0" w:firstLineChars="0"/>
              <w:jc w:val="left"/>
              <w:rPr>
                <w:rFonts w:ascii="楷体" w:hAnsi="楷体" w:eastAsia="楷体"/>
                <w:kern w:val="0"/>
                <w:sz w:val="24"/>
              </w:rPr>
            </w:pPr>
            <w:r>
              <w:rPr>
                <w:rFonts w:hint="eastAsia" w:ascii="楷体" w:hAnsi="楷体" w:eastAsia="楷体"/>
                <w:kern w:val="0"/>
                <w:sz w:val="24"/>
              </w:rPr>
              <w:t>1）本项目管理人员具有</w:t>
            </w:r>
            <w:r>
              <w:rPr>
                <w:rFonts w:ascii="楷体" w:hAnsi="楷体" w:eastAsia="楷体"/>
                <w:kern w:val="0"/>
                <w:sz w:val="24"/>
              </w:rPr>
              <w:t>10</w:t>
            </w:r>
            <w:r>
              <w:rPr>
                <w:rFonts w:hint="eastAsia" w:ascii="楷体" w:hAnsi="楷体" w:eastAsia="楷体"/>
                <w:kern w:val="0"/>
                <w:sz w:val="24"/>
              </w:rPr>
              <w:t>年以上管理经验，3年及以上项目管理经验，具有较强的服务意识、现场应变能力。</w:t>
            </w:r>
          </w:p>
          <w:p>
            <w:pPr>
              <w:pStyle w:val="2"/>
              <w:snapToGrid w:val="0"/>
              <w:spacing w:after="0"/>
              <w:ind w:left="0" w:leftChars="0" w:firstLine="0" w:firstLineChars="0"/>
              <w:jc w:val="left"/>
              <w:rPr>
                <w:rFonts w:ascii="楷体" w:hAnsi="楷体" w:eastAsia="楷体"/>
                <w:kern w:val="0"/>
                <w:sz w:val="24"/>
              </w:rPr>
            </w:pPr>
            <w:r>
              <w:rPr>
                <w:rFonts w:hint="eastAsia" w:ascii="楷体" w:hAnsi="楷体" w:eastAsia="楷体"/>
                <w:kern w:val="0"/>
                <w:sz w:val="24"/>
              </w:rPr>
              <w:t>2）本项目现场服务人员年龄不得超过</w:t>
            </w:r>
            <w:r>
              <w:rPr>
                <w:rFonts w:ascii="楷体" w:hAnsi="楷体" w:eastAsia="楷体"/>
                <w:kern w:val="0"/>
                <w:sz w:val="24"/>
              </w:rPr>
              <w:t>45岁，服务意识强，形象良好，具有3年以上大型展会服务经验，企业符合条件的服务人员不少于8人；</w:t>
            </w:r>
          </w:p>
        </w:tc>
      </w:tr>
      <w:tr>
        <w:tblPrEx>
          <w:tblCellMar>
            <w:top w:w="0" w:type="dxa"/>
            <w:left w:w="0" w:type="dxa"/>
            <w:bottom w:w="0" w:type="dxa"/>
            <w:right w:w="0" w:type="dxa"/>
          </w:tblCellMar>
        </w:tblPrEx>
        <w:trPr>
          <w:trHeight w:val="589"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default" w:ascii="楷体" w:hAnsi="楷体" w:eastAsia="楷体"/>
                <w:sz w:val="24"/>
                <w:szCs w:val="24"/>
                <w:lang w:val="en-US" w:eastAsia="zh-CN"/>
              </w:rPr>
            </w:pPr>
            <w:r>
              <w:rPr>
                <w:rFonts w:hint="eastAsia" w:ascii="楷体" w:hAnsi="楷体" w:eastAsia="楷体"/>
                <w:sz w:val="24"/>
                <w:szCs w:val="24"/>
                <w:lang w:val="en-US" w:eastAsia="zh-CN"/>
              </w:rPr>
              <w:t>6</w:t>
            </w:r>
          </w:p>
        </w:tc>
        <w:tc>
          <w:tcPr>
            <w:tcW w:w="163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楷体" w:hAnsi="楷体" w:eastAsia="楷体"/>
                <w:kern w:val="0"/>
                <w:sz w:val="24"/>
                <w:szCs w:val="24"/>
              </w:rPr>
            </w:pPr>
            <w:r>
              <w:rPr>
                <w:rFonts w:hint="eastAsia" w:ascii="楷体" w:hAnsi="楷体" w:eastAsia="楷体"/>
                <w:kern w:val="0"/>
                <w:sz w:val="24"/>
                <w:szCs w:val="24"/>
              </w:rPr>
              <w:t>公共安全</w:t>
            </w:r>
          </w:p>
          <w:p>
            <w:pPr>
              <w:widowControl/>
              <w:jc w:val="center"/>
              <w:textAlignment w:val="center"/>
              <w:rPr>
                <w:rFonts w:ascii="楷体" w:hAnsi="楷体" w:eastAsia="楷体"/>
                <w:sz w:val="24"/>
                <w:szCs w:val="24"/>
              </w:rPr>
            </w:pPr>
            <w:r>
              <w:rPr>
                <w:rFonts w:hint="eastAsia" w:ascii="楷体" w:hAnsi="楷体" w:eastAsia="楷体"/>
                <w:kern w:val="0"/>
                <w:sz w:val="24"/>
                <w:szCs w:val="24"/>
              </w:rPr>
              <w:t>专业能力</w:t>
            </w:r>
          </w:p>
        </w:tc>
        <w:tc>
          <w:tcPr>
            <w:tcW w:w="94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楷体" w:hAnsi="楷体" w:eastAsia="楷体"/>
                <w:sz w:val="24"/>
                <w:szCs w:val="24"/>
              </w:rPr>
            </w:pPr>
            <w:r>
              <w:rPr>
                <w:rFonts w:ascii="楷体" w:hAnsi="楷体" w:eastAsia="楷体"/>
                <w:kern w:val="0"/>
                <w:sz w:val="24"/>
                <w:szCs w:val="24"/>
              </w:rPr>
              <w:t>10</w:t>
            </w:r>
          </w:p>
        </w:tc>
        <w:tc>
          <w:tcPr>
            <w:tcW w:w="107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Style w:val="2"/>
              <w:snapToGrid w:val="0"/>
              <w:spacing w:after="0"/>
              <w:ind w:left="0" w:leftChars="0" w:firstLine="0" w:firstLineChars="0"/>
              <w:jc w:val="left"/>
              <w:rPr>
                <w:rFonts w:ascii="楷体" w:hAnsi="楷体" w:eastAsia="楷体" w:cs="楷体"/>
                <w:kern w:val="0"/>
                <w:sz w:val="24"/>
                <w:lang w:bidi="ar"/>
              </w:rPr>
            </w:pPr>
            <w:r>
              <w:rPr>
                <w:rFonts w:ascii="楷体" w:hAnsi="楷体" w:eastAsia="楷体" w:cs="楷体"/>
                <w:kern w:val="0"/>
                <w:sz w:val="24"/>
                <w:lang w:bidi="ar"/>
              </w:rPr>
              <w:t>1</w:t>
            </w:r>
            <w:r>
              <w:rPr>
                <w:rFonts w:hint="eastAsia" w:ascii="楷体" w:hAnsi="楷体" w:eastAsia="楷体" w:cs="楷体"/>
                <w:kern w:val="0"/>
                <w:sz w:val="24"/>
                <w:lang w:bidi="ar"/>
              </w:rPr>
              <w:t>）有公共安全专家与公共卫生专业专家团队；</w:t>
            </w:r>
          </w:p>
          <w:p>
            <w:pPr>
              <w:pStyle w:val="2"/>
              <w:snapToGrid w:val="0"/>
              <w:spacing w:after="0"/>
              <w:ind w:left="0" w:leftChars="0" w:firstLine="0" w:firstLineChars="0"/>
              <w:jc w:val="left"/>
              <w:rPr>
                <w:rFonts w:ascii="楷体" w:hAnsi="楷体" w:eastAsia="楷体" w:cs="楷体"/>
                <w:kern w:val="0"/>
                <w:sz w:val="24"/>
                <w:lang w:bidi="ar"/>
              </w:rPr>
            </w:pPr>
            <w:r>
              <w:rPr>
                <w:rFonts w:ascii="楷体" w:hAnsi="楷体" w:eastAsia="楷体" w:cs="楷体"/>
                <w:kern w:val="0"/>
                <w:sz w:val="24"/>
                <w:lang w:bidi="ar"/>
              </w:rPr>
              <w:t>2</w:t>
            </w:r>
            <w:r>
              <w:rPr>
                <w:rFonts w:hint="eastAsia" w:ascii="楷体" w:hAnsi="楷体" w:eastAsia="楷体" w:cs="楷体"/>
                <w:kern w:val="0"/>
                <w:sz w:val="24"/>
                <w:lang w:bidi="ar"/>
              </w:rPr>
              <w:t>）专家具备国家级大型活动公共安全</w:t>
            </w:r>
            <w:r>
              <w:rPr>
                <w:rFonts w:hint="eastAsia" w:ascii="楷体" w:hAnsi="楷体" w:eastAsia="楷体" w:cs="楷体"/>
                <w:kern w:val="0"/>
                <w:sz w:val="24"/>
                <w:lang w:eastAsia="zh-CN" w:bidi="ar"/>
              </w:rPr>
              <w:t>、</w:t>
            </w:r>
            <w:r>
              <w:rPr>
                <w:rFonts w:hint="eastAsia" w:ascii="楷体" w:hAnsi="楷体" w:eastAsia="楷体" w:cs="楷体"/>
                <w:kern w:val="0"/>
                <w:sz w:val="24"/>
                <w:lang w:val="en-US" w:eastAsia="zh-CN" w:bidi="ar"/>
              </w:rPr>
              <w:t>公共卫生</w:t>
            </w:r>
            <w:r>
              <w:rPr>
                <w:rFonts w:hint="eastAsia" w:ascii="楷体" w:hAnsi="楷体" w:eastAsia="楷体" w:cs="楷体"/>
                <w:kern w:val="0"/>
                <w:sz w:val="24"/>
                <w:lang w:bidi="ar"/>
              </w:rPr>
              <w:t>经验；</w:t>
            </w:r>
          </w:p>
          <w:p>
            <w:pPr>
              <w:pStyle w:val="2"/>
              <w:snapToGrid w:val="0"/>
              <w:spacing w:after="0"/>
              <w:ind w:left="0" w:leftChars="0" w:firstLine="0" w:firstLineChars="0"/>
              <w:jc w:val="left"/>
              <w:rPr>
                <w:rFonts w:hint="eastAsia" w:ascii="楷体" w:hAnsi="楷体" w:eastAsia="楷体" w:cs="楷体"/>
                <w:kern w:val="0"/>
                <w:sz w:val="24"/>
                <w:lang w:bidi="ar"/>
              </w:rPr>
            </w:pPr>
            <w:r>
              <w:rPr>
                <w:rFonts w:hint="eastAsia" w:ascii="楷体" w:hAnsi="楷体" w:eastAsia="楷体" w:cs="楷体"/>
                <w:kern w:val="0"/>
                <w:sz w:val="24"/>
                <w:lang w:bidi="ar"/>
              </w:rPr>
              <w:t>3）应具备制订会展公共安全解决方案和实施的能力。</w:t>
            </w:r>
          </w:p>
          <w:p>
            <w:pPr>
              <w:pStyle w:val="2"/>
              <w:snapToGrid w:val="0"/>
              <w:spacing w:after="0"/>
              <w:ind w:left="0" w:leftChars="0" w:firstLine="0" w:firstLineChars="0"/>
              <w:jc w:val="left"/>
              <w:rPr>
                <w:rFonts w:ascii="楷体" w:hAnsi="楷体" w:eastAsia="楷体" w:cs="楷体"/>
                <w:kern w:val="0"/>
                <w:sz w:val="24"/>
                <w:lang w:bidi="ar"/>
              </w:rPr>
            </w:pPr>
            <w:r>
              <w:rPr>
                <w:rFonts w:hint="eastAsia" w:ascii="楷体" w:hAnsi="楷体" w:eastAsia="楷体" w:cs="楷体"/>
                <w:kern w:val="0"/>
                <w:sz w:val="24"/>
                <w:lang w:bidi="ar"/>
              </w:rPr>
              <w:t>评分标准：每符合一条得</w:t>
            </w:r>
            <w:r>
              <w:rPr>
                <w:rFonts w:hint="eastAsia" w:ascii="楷体" w:hAnsi="楷体" w:eastAsia="楷体" w:cs="楷体"/>
                <w:kern w:val="0"/>
                <w:sz w:val="24"/>
                <w:lang w:val="en-US" w:eastAsia="zh-CN" w:bidi="ar"/>
              </w:rPr>
              <w:t>2</w:t>
            </w:r>
            <w:r>
              <w:rPr>
                <w:rFonts w:hint="eastAsia" w:ascii="楷体" w:hAnsi="楷体" w:eastAsia="楷体" w:cs="楷体"/>
                <w:kern w:val="0"/>
                <w:sz w:val="24"/>
                <w:lang w:bidi="ar"/>
              </w:rPr>
              <w:t>分，每增加一条专业能力证明加</w:t>
            </w:r>
            <w:r>
              <w:rPr>
                <w:rFonts w:ascii="楷体" w:hAnsi="楷体" w:eastAsia="楷体" w:cs="楷体"/>
                <w:kern w:val="0"/>
                <w:sz w:val="24"/>
                <w:lang w:bidi="ar"/>
              </w:rPr>
              <w:t>1</w:t>
            </w:r>
            <w:r>
              <w:rPr>
                <w:rFonts w:hint="eastAsia" w:ascii="楷体" w:hAnsi="楷体" w:eastAsia="楷体" w:cs="楷体"/>
                <w:kern w:val="0"/>
                <w:sz w:val="24"/>
                <w:lang w:bidi="ar"/>
              </w:rPr>
              <w:t>分，每增加国家级专家或同级专家加</w:t>
            </w:r>
            <w:r>
              <w:rPr>
                <w:rFonts w:ascii="楷体" w:hAnsi="楷体" w:eastAsia="楷体" w:cs="楷体"/>
                <w:kern w:val="0"/>
                <w:sz w:val="24"/>
                <w:lang w:bidi="ar"/>
              </w:rPr>
              <w:t>1</w:t>
            </w:r>
            <w:r>
              <w:rPr>
                <w:rFonts w:hint="eastAsia" w:ascii="楷体" w:hAnsi="楷体" w:eastAsia="楷体" w:cs="楷体"/>
                <w:kern w:val="0"/>
                <w:sz w:val="24"/>
                <w:lang w:bidi="ar"/>
              </w:rPr>
              <w:t>分，满分</w:t>
            </w:r>
            <w:r>
              <w:rPr>
                <w:rFonts w:hint="eastAsia" w:ascii="楷体" w:hAnsi="楷体" w:eastAsia="楷体" w:cs="楷体"/>
                <w:kern w:val="0"/>
                <w:sz w:val="24"/>
                <w:lang w:val="en-US" w:eastAsia="zh-CN" w:bidi="ar"/>
              </w:rPr>
              <w:t>10</w:t>
            </w:r>
            <w:r>
              <w:rPr>
                <w:rFonts w:hint="eastAsia" w:ascii="楷体" w:hAnsi="楷体" w:eastAsia="楷体" w:cs="楷体"/>
                <w:kern w:val="0"/>
                <w:sz w:val="24"/>
                <w:lang w:bidi="ar"/>
              </w:rPr>
              <w:t>分。</w:t>
            </w:r>
          </w:p>
        </w:tc>
      </w:tr>
      <w:tr>
        <w:tblPrEx>
          <w:tblCellMar>
            <w:top w:w="0" w:type="dxa"/>
            <w:left w:w="0" w:type="dxa"/>
            <w:bottom w:w="0" w:type="dxa"/>
            <w:right w:w="0" w:type="dxa"/>
          </w:tblCellMar>
        </w:tblPrEx>
        <w:trPr>
          <w:trHeight w:val="157"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楷体" w:hAnsi="楷体" w:eastAsia="楷体"/>
                <w:kern w:val="0"/>
                <w:sz w:val="24"/>
                <w:szCs w:val="24"/>
                <w:lang w:eastAsia="zh-CN"/>
              </w:rPr>
            </w:pPr>
            <w:r>
              <w:rPr>
                <w:rFonts w:hint="eastAsia" w:ascii="楷体" w:hAnsi="楷体" w:eastAsia="楷体"/>
                <w:kern w:val="0"/>
                <w:sz w:val="24"/>
                <w:szCs w:val="24"/>
                <w:lang w:val="en-US" w:eastAsia="zh-CN"/>
              </w:rPr>
              <w:t>7</w:t>
            </w:r>
          </w:p>
        </w:tc>
        <w:tc>
          <w:tcPr>
            <w:tcW w:w="163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楷体" w:hAnsi="楷体" w:eastAsia="楷体"/>
                <w:kern w:val="0"/>
                <w:sz w:val="24"/>
                <w:szCs w:val="24"/>
              </w:rPr>
            </w:pPr>
            <w:r>
              <w:rPr>
                <w:rFonts w:hint="eastAsia" w:ascii="楷体" w:hAnsi="楷体" w:eastAsia="楷体"/>
                <w:kern w:val="0"/>
                <w:sz w:val="24"/>
                <w:szCs w:val="24"/>
              </w:rPr>
              <w:t>方案的完整性</w:t>
            </w:r>
          </w:p>
        </w:tc>
        <w:tc>
          <w:tcPr>
            <w:tcW w:w="94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楷体" w:hAnsi="楷体" w:eastAsia="楷体"/>
                <w:kern w:val="0"/>
                <w:sz w:val="24"/>
                <w:szCs w:val="24"/>
                <w:lang w:eastAsia="zh-CN"/>
              </w:rPr>
            </w:pPr>
            <w:r>
              <w:rPr>
                <w:rFonts w:hint="eastAsia" w:ascii="楷体" w:hAnsi="楷体" w:eastAsia="楷体"/>
                <w:kern w:val="0"/>
                <w:sz w:val="24"/>
                <w:szCs w:val="24"/>
                <w:lang w:val="en-US" w:eastAsia="zh-CN"/>
              </w:rPr>
              <w:t>5</w:t>
            </w:r>
          </w:p>
        </w:tc>
        <w:tc>
          <w:tcPr>
            <w:tcW w:w="107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Style w:val="2"/>
              <w:snapToGrid w:val="0"/>
              <w:spacing w:after="0"/>
              <w:ind w:left="0" w:leftChars="0" w:firstLine="0" w:firstLineChars="0"/>
              <w:jc w:val="left"/>
              <w:rPr>
                <w:rFonts w:ascii="楷体" w:hAnsi="楷体" w:eastAsia="楷体" w:cs="楷体"/>
                <w:kern w:val="0"/>
                <w:sz w:val="24"/>
                <w:lang w:bidi="ar"/>
              </w:rPr>
            </w:pPr>
            <w:r>
              <w:rPr>
                <w:rFonts w:hint="eastAsia" w:ascii="楷体" w:hAnsi="楷体" w:eastAsia="楷体" w:cs="楷体"/>
                <w:kern w:val="0"/>
                <w:sz w:val="24"/>
                <w:lang w:bidi="ar"/>
              </w:rPr>
              <w:t>1）合作方案和本次招标内容的合理性和适配性、完整性。</w:t>
            </w:r>
          </w:p>
        </w:tc>
      </w:tr>
      <w:tr>
        <w:tblPrEx>
          <w:tblCellMar>
            <w:top w:w="0" w:type="dxa"/>
            <w:left w:w="0" w:type="dxa"/>
            <w:bottom w:w="0" w:type="dxa"/>
            <w:right w:w="0" w:type="dxa"/>
          </w:tblCellMar>
        </w:tblPrEx>
        <w:trPr>
          <w:trHeight w:val="227"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pPr>
              <w:rPr>
                <w:rFonts w:ascii="等线" w:hAnsi="等线" w:eastAsia="等线"/>
                <w:sz w:val="22"/>
              </w:rPr>
            </w:pPr>
          </w:p>
        </w:tc>
        <w:tc>
          <w:tcPr>
            <w:tcW w:w="163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楷体" w:hAnsi="楷体" w:eastAsia="楷体"/>
                <w:sz w:val="24"/>
                <w:szCs w:val="24"/>
              </w:rPr>
            </w:pPr>
            <w:r>
              <w:rPr>
                <w:rFonts w:hint="eastAsia" w:ascii="楷体" w:hAnsi="楷体" w:eastAsia="楷体"/>
                <w:kern w:val="0"/>
                <w:sz w:val="24"/>
                <w:szCs w:val="24"/>
              </w:rPr>
              <w:t>合计</w:t>
            </w:r>
          </w:p>
        </w:tc>
        <w:tc>
          <w:tcPr>
            <w:tcW w:w="94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楷体" w:hAnsi="楷体" w:eastAsia="楷体"/>
                <w:sz w:val="24"/>
                <w:szCs w:val="24"/>
              </w:rPr>
            </w:pPr>
            <w:r>
              <w:rPr>
                <w:rFonts w:hint="eastAsia" w:ascii="楷体" w:hAnsi="楷体" w:eastAsia="楷体"/>
                <w:kern w:val="0"/>
                <w:sz w:val="24"/>
                <w:szCs w:val="24"/>
              </w:rPr>
              <w:t>100</w:t>
            </w:r>
          </w:p>
        </w:tc>
        <w:tc>
          <w:tcPr>
            <w:tcW w:w="1075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bottom"/>
          </w:tcPr>
          <w:p>
            <w:pPr>
              <w:rPr>
                <w:rFonts w:ascii="等线" w:hAnsi="等线" w:eastAsia="等线"/>
                <w:sz w:val="22"/>
              </w:rPr>
            </w:pPr>
          </w:p>
        </w:tc>
      </w:tr>
    </w:tbl>
    <w:p>
      <w:pPr>
        <w:pStyle w:val="2"/>
        <w:ind w:left="0" w:leftChars="0" w:firstLine="480" w:firstLineChars="200"/>
        <w:rPr>
          <w:rFonts w:hint="eastAsia" w:ascii="仿宋" w:hAnsi="仿宋" w:eastAsia="仿宋" w:cs="仿宋"/>
          <w:sz w:val="24"/>
          <w:szCs w:val="32"/>
          <w:lang w:val="en-US"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8D11F7"/>
    <w:multiLevelType w:val="singleLevel"/>
    <w:tmpl w:val="C78D11F7"/>
    <w:lvl w:ilvl="0" w:tentative="0">
      <w:start w:val="1"/>
      <w:numFmt w:val="decimal"/>
      <w:suff w:val="nothing"/>
      <w:lvlText w:val="%1）"/>
      <w:lvlJc w:val="left"/>
    </w:lvl>
  </w:abstractNum>
  <w:abstractNum w:abstractNumId="1">
    <w:nsid w:val="19B6F290"/>
    <w:multiLevelType w:val="singleLevel"/>
    <w:tmpl w:val="19B6F290"/>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abstractNum w:abstractNumId="3">
    <w:nsid w:val="2033726B"/>
    <w:multiLevelType w:val="multilevel"/>
    <w:tmpl w:val="2033726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863C8BB"/>
    <w:multiLevelType w:val="singleLevel"/>
    <w:tmpl w:val="5863C8BB"/>
    <w:lvl w:ilvl="0" w:tentative="0">
      <w:start w:val="1"/>
      <w:numFmt w:val="chineseCounting"/>
      <w:suff w:val="nothing"/>
      <w:lvlText w:val="（%1）"/>
      <w:lvlJc w:val="left"/>
      <w:rPr>
        <w:rFonts w:hint="eastAsia"/>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7AAF2D79"/>
    <w:rsid w:val="005D1C63"/>
    <w:rsid w:val="017151B6"/>
    <w:rsid w:val="0179282C"/>
    <w:rsid w:val="01A1716C"/>
    <w:rsid w:val="036D7940"/>
    <w:rsid w:val="05C74E35"/>
    <w:rsid w:val="071302EA"/>
    <w:rsid w:val="073E237B"/>
    <w:rsid w:val="08791EB3"/>
    <w:rsid w:val="0A8612FD"/>
    <w:rsid w:val="0BBB2471"/>
    <w:rsid w:val="0D574363"/>
    <w:rsid w:val="0E27137A"/>
    <w:rsid w:val="0E3E7468"/>
    <w:rsid w:val="0F560522"/>
    <w:rsid w:val="118232F4"/>
    <w:rsid w:val="119433AD"/>
    <w:rsid w:val="12243932"/>
    <w:rsid w:val="1413669C"/>
    <w:rsid w:val="14385C7A"/>
    <w:rsid w:val="1475255D"/>
    <w:rsid w:val="155271E9"/>
    <w:rsid w:val="160408D7"/>
    <w:rsid w:val="160A5610"/>
    <w:rsid w:val="16123527"/>
    <w:rsid w:val="16335C26"/>
    <w:rsid w:val="17B17E95"/>
    <w:rsid w:val="18331594"/>
    <w:rsid w:val="189712A8"/>
    <w:rsid w:val="19457B5B"/>
    <w:rsid w:val="19874143"/>
    <w:rsid w:val="19B33713"/>
    <w:rsid w:val="1A6C7833"/>
    <w:rsid w:val="1C4B0539"/>
    <w:rsid w:val="1E827782"/>
    <w:rsid w:val="1EB36E92"/>
    <w:rsid w:val="21243ED3"/>
    <w:rsid w:val="21BC5F1C"/>
    <w:rsid w:val="21DE53E2"/>
    <w:rsid w:val="22CC050B"/>
    <w:rsid w:val="232E56F6"/>
    <w:rsid w:val="241A6887"/>
    <w:rsid w:val="259D7CE3"/>
    <w:rsid w:val="25F31BFD"/>
    <w:rsid w:val="26B67141"/>
    <w:rsid w:val="26C667E1"/>
    <w:rsid w:val="272B2054"/>
    <w:rsid w:val="27CB32C1"/>
    <w:rsid w:val="27DA0237"/>
    <w:rsid w:val="28B01B1B"/>
    <w:rsid w:val="2911509E"/>
    <w:rsid w:val="2BB77A53"/>
    <w:rsid w:val="2C2816B5"/>
    <w:rsid w:val="2CEB3365"/>
    <w:rsid w:val="2D3C2017"/>
    <w:rsid w:val="2DB32E3C"/>
    <w:rsid w:val="2FB55C97"/>
    <w:rsid w:val="2FD233D9"/>
    <w:rsid w:val="30377750"/>
    <w:rsid w:val="31E814F0"/>
    <w:rsid w:val="341E5171"/>
    <w:rsid w:val="34F31B7A"/>
    <w:rsid w:val="36FA000E"/>
    <w:rsid w:val="386860E2"/>
    <w:rsid w:val="38A83A80"/>
    <w:rsid w:val="3B432363"/>
    <w:rsid w:val="3BB92288"/>
    <w:rsid w:val="3BE63799"/>
    <w:rsid w:val="3C353678"/>
    <w:rsid w:val="3CE1135C"/>
    <w:rsid w:val="3DD86A9B"/>
    <w:rsid w:val="3EDC2955"/>
    <w:rsid w:val="405B41FF"/>
    <w:rsid w:val="45084A2A"/>
    <w:rsid w:val="45436FCB"/>
    <w:rsid w:val="45FF2A82"/>
    <w:rsid w:val="49157B29"/>
    <w:rsid w:val="49F57186"/>
    <w:rsid w:val="4B7C5F5B"/>
    <w:rsid w:val="4C31205B"/>
    <w:rsid w:val="4C590A63"/>
    <w:rsid w:val="4DE04E8C"/>
    <w:rsid w:val="4E2B176A"/>
    <w:rsid w:val="4EAE7519"/>
    <w:rsid w:val="4F5E5174"/>
    <w:rsid w:val="4FD26BD3"/>
    <w:rsid w:val="502F330A"/>
    <w:rsid w:val="507D70FE"/>
    <w:rsid w:val="51C668F3"/>
    <w:rsid w:val="523F6B14"/>
    <w:rsid w:val="541336C2"/>
    <w:rsid w:val="54784416"/>
    <w:rsid w:val="54E879C4"/>
    <w:rsid w:val="558F4063"/>
    <w:rsid w:val="574A47FC"/>
    <w:rsid w:val="57AE3E81"/>
    <w:rsid w:val="58DE20E2"/>
    <w:rsid w:val="5C2F74F7"/>
    <w:rsid w:val="5CB23F1F"/>
    <w:rsid w:val="5D3837A4"/>
    <w:rsid w:val="5EFD1C70"/>
    <w:rsid w:val="604D588A"/>
    <w:rsid w:val="607E52A1"/>
    <w:rsid w:val="62EF34BE"/>
    <w:rsid w:val="62FF4D6E"/>
    <w:rsid w:val="64DA7648"/>
    <w:rsid w:val="67073673"/>
    <w:rsid w:val="679308EB"/>
    <w:rsid w:val="691E2BBA"/>
    <w:rsid w:val="6A123D2A"/>
    <w:rsid w:val="6AC36D88"/>
    <w:rsid w:val="6C472CF7"/>
    <w:rsid w:val="6CE4448D"/>
    <w:rsid w:val="6CEE7919"/>
    <w:rsid w:val="6E297177"/>
    <w:rsid w:val="6FCA617B"/>
    <w:rsid w:val="70971DF5"/>
    <w:rsid w:val="70DB2CE6"/>
    <w:rsid w:val="70EF2512"/>
    <w:rsid w:val="72E862CC"/>
    <w:rsid w:val="731F7F23"/>
    <w:rsid w:val="75314659"/>
    <w:rsid w:val="75745932"/>
    <w:rsid w:val="75867E79"/>
    <w:rsid w:val="77235D48"/>
    <w:rsid w:val="7A143391"/>
    <w:rsid w:val="7AAF2D79"/>
    <w:rsid w:val="7AE76698"/>
    <w:rsid w:val="7DAF26CD"/>
    <w:rsid w:val="7DBB1A64"/>
    <w:rsid w:val="7F556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2543</Words>
  <Characters>2710</Characters>
  <Lines>0</Lines>
  <Paragraphs>0</Paragraphs>
  <TotalTime>50</TotalTime>
  <ScaleCrop>false</ScaleCrop>
  <LinksUpToDate>false</LinksUpToDate>
  <CharactersWithSpaces>2725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2022-01-04T02:46:00Z</dcterms:created>
  <dc:creator>山东国际会展集团</dc:creator>
  <cp:lastModifiedBy>马小马</cp:lastModifiedBy>
  <cp:lastPrinted>2023-01-19T02:17:00Z</cp:lastPrinted>
  <dcterms:modified xsi:type="dcterms:W3CDTF">2023-01-19T02:44:17Z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63B44885083A494CB703639BB526F63F</vt:lpwstr>
  </property>
</Properties>
</file>