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展会期间配套餐饮服务商招商公告</w:t>
      </w:r>
    </w:p>
    <w:p>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2023年3月8日12时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山东国际会展集团有限公司根据实际情况和经营管理需要，对展会期间配套餐饮服务商进行招商公示，现诚邀资质合格的单位参加报价，请按相关要求进行响应。</w:t>
      </w:r>
    </w:p>
    <w:p>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pPr>
        <w:keepNext w:val="0"/>
        <w:keepLines w:val="0"/>
        <w:widowControl/>
        <w:numPr>
          <w:ilvl w:val="0"/>
          <w:numId w:val="0"/>
        </w:numPr>
        <w:suppressLineNumbers w:val="0"/>
        <w:spacing w:line="360" w:lineRule="auto"/>
        <w:ind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（一）项目内容：山东国际会展中心展会期间配套餐饮。</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sz w:val="24"/>
          <w:szCs w:val="32"/>
          <w:lang w:val="en-US" w:eastAsia="zh-CN"/>
        </w:rPr>
      </w:pPr>
      <w:r>
        <w:rPr>
          <w:rFonts w:hint="eastAsia" w:ascii="仿宋" w:hAnsi="仿宋" w:eastAsia="仿宋" w:cs="仿宋"/>
          <w:b w:val="0"/>
          <w:bCs w:val="0"/>
          <w:i w:val="0"/>
          <w:color w:val="000000"/>
          <w:kern w:val="0"/>
          <w:sz w:val="24"/>
          <w:szCs w:val="24"/>
          <w:u w:val="none"/>
          <w:lang w:val="en-US" w:eastAsia="zh-CN" w:bidi="ar"/>
        </w:rPr>
        <w:t>（二）项目合作期限：一</w:t>
      </w:r>
      <w:r>
        <w:rPr>
          <w:rFonts w:hint="eastAsia" w:ascii="仿宋" w:hAnsi="仿宋" w:eastAsia="仿宋" w:cs="仿宋"/>
          <w:sz w:val="24"/>
          <w:szCs w:val="32"/>
          <w:lang w:val="en-US" w:eastAsia="zh-CN"/>
        </w:rPr>
        <w:t>年期。在展厅区域无新规划且项目合作顺利情况下，按程序协商续签，最多续签两次。期间因不可抗力、政府、产权方、运营方有新的开发运营规划等情况，提前1个月通知运营方解除合同，双方互不承担责任。</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eastAsia" w:ascii="仿宋" w:hAnsi="仿宋" w:eastAsia="仿宋" w:cs="仿宋"/>
          <w:sz w:val="24"/>
          <w:szCs w:val="32"/>
          <w:lang w:val="en-US" w:eastAsia="zh-CN"/>
        </w:rPr>
        <w:t>（三）项目地点：山东国际会展中心登录大厅3-4号馆及4-5号馆之间的区域，固定面积约80㎡/处。</w:t>
      </w:r>
    </w:p>
    <w:p>
      <w:pPr>
        <w:keepNext w:val="0"/>
        <w:keepLines w:val="0"/>
        <w:widowControl/>
        <w:numPr>
          <w:ilvl w:val="0"/>
          <w:numId w:val="0"/>
        </w:numPr>
        <w:suppressLineNumbers w:val="0"/>
        <w:spacing w:line="360" w:lineRule="auto"/>
        <w:ind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（四）招商方式：综合评分。</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参与报价企业资质要求</w:t>
      </w:r>
    </w:p>
    <w:p>
      <w:pPr>
        <w:keepNext w:val="0"/>
        <w:keepLines w:val="0"/>
        <w:widowControl/>
        <w:numPr>
          <w:ilvl w:val="0"/>
          <w:numId w:val="2"/>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（包含个体户）必须是在中华人民共和国境内注册；</w:t>
      </w:r>
    </w:p>
    <w:p>
      <w:pPr>
        <w:keepNext w:val="0"/>
        <w:keepLines w:val="0"/>
        <w:widowControl/>
        <w:numPr>
          <w:ilvl w:val="0"/>
          <w:numId w:val="2"/>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2"/>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pStyle w:val="2"/>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 xml:space="preserve"> （四）参与本次项目的企业单位需具有食品安全许可证等餐饮行业所需的相关资质。</w:t>
      </w:r>
    </w:p>
    <w:p>
      <w:pPr>
        <w:pStyle w:val="8"/>
        <w:ind w:left="0" w:leftChars="0" w:firstLine="480" w:firstLineChars="20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（五）本项目不接受联合体投标。</w:t>
      </w:r>
    </w:p>
    <w:p>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三、招商要求及回传方式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（一）招商要求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1、场地及管理费用</w:t>
      </w:r>
      <w:r>
        <w:rPr>
          <w:rFonts w:hint="eastAsia" w:ascii="仿宋" w:hAnsi="仿宋" w:eastAsia="仿宋" w:cs="仿宋"/>
          <w:b w:val="0"/>
          <w:bCs w:val="0"/>
          <w:i w:val="0"/>
          <w:color w:val="000000"/>
          <w:kern w:val="0"/>
          <w:sz w:val="24"/>
          <w:szCs w:val="24"/>
          <w:u w:val="none"/>
          <w:lang w:val="en-US" w:eastAsia="zh-CN" w:bidi="ar"/>
        </w:rPr>
        <w:t>不低于6万元/处。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eastAsia" w:ascii="仿宋" w:hAnsi="仿宋" w:eastAsia="仿宋" w:cs="仿宋"/>
          <w:sz w:val="24"/>
          <w:szCs w:val="32"/>
          <w:lang w:val="en-US" w:eastAsia="zh-CN"/>
        </w:rPr>
      </w:pPr>
      <w:r>
        <w:rPr>
          <w:rFonts w:hint="eastAsia" w:ascii="仿宋" w:hAnsi="仿宋" w:eastAsia="仿宋" w:cs="仿宋"/>
          <w:b w:val="0"/>
          <w:bCs w:val="0"/>
          <w:i w:val="0"/>
          <w:color w:val="000000"/>
          <w:kern w:val="0"/>
          <w:sz w:val="24"/>
          <w:szCs w:val="24"/>
          <w:u w:val="none"/>
          <w:lang w:val="en-US" w:eastAsia="zh-CN" w:bidi="ar"/>
        </w:rPr>
        <w:t>2、配餐点设置在</w:t>
      </w:r>
      <w:r>
        <w:rPr>
          <w:rFonts w:hint="eastAsia" w:ascii="仿宋" w:hAnsi="仿宋" w:eastAsia="仿宋" w:cs="仿宋"/>
          <w:sz w:val="24"/>
          <w:szCs w:val="32"/>
          <w:lang w:val="en-US" w:eastAsia="zh-CN"/>
        </w:rPr>
        <w:t>登录大厅3-4号馆及4-5号馆之间的区域，保留消防通道后剩余固定面积约80㎡/处。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eastAsia" w:ascii="仿宋" w:hAnsi="仿宋" w:eastAsia="仿宋" w:cs="仿宋"/>
          <w:sz w:val="24"/>
          <w:szCs w:val="32"/>
          <w:lang w:val="en-US" w:eastAsia="zh-CN"/>
        </w:rPr>
      </w:pPr>
      <w:r>
        <w:rPr>
          <w:rFonts w:hint="eastAsia" w:ascii="仿宋" w:hAnsi="仿宋" w:eastAsia="仿宋" w:cs="仿宋"/>
          <w:b w:val="0"/>
          <w:bCs w:val="0"/>
          <w:i w:val="0"/>
          <w:color w:val="000000"/>
          <w:kern w:val="0"/>
          <w:sz w:val="24"/>
          <w:szCs w:val="24"/>
          <w:u w:val="none"/>
          <w:lang w:val="en-US" w:eastAsia="zh-CN" w:bidi="ar"/>
        </w:rPr>
        <w:t>5、</w:t>
      </w:r>
      <w:r>
        <w:rPr>
          <w:rFonts w:hint="eastAsia" w:ascii="仿宋" w:hAnsi="仿宋" w:eastAsia="仿宋" w:cs="仿宋"/>
          <w:sz w:val="24"/>
          <w:szCs w:val="32"/>
          <w:lang w:val="en-US" w:eastAsia="zh-CN"/>
        </w:rPr>
        <w:t>如遇展会使用该区域，运营方需自行将区域内物品撤出，撤出及后续重新布置的相关费用由运营方承担。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6、本项目不允许运营方新建建筑物，所有经营手续及物业支出（包括但不限于安保、保洁、水电费等费用），由项目运营方办理及支付。</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lang w:val="en-US" w:eastAsia="zh-CN"/>
        </w:rPr>
      </w:pPr>
      <w:r>
        <w:rPr>
          <w:rFonts w:hint="eastAsia" w:ascii="仿宋" w:hAnsi="仿宋" w:eastAsia="仿宋" w:cs="仿宋"/>
          <w:i w:val="0"/>
          <w:color w:val="000000"/>
          <w:kern w:val="0"/>
          <w:sz w:val="24"/>
          <w:szCs w:val="24"/>
          <w:u w:val="none"/>
          <w:lang w:val="en-US" w:eastAsia="zh-CN" w:bidi="ar"/>
        </w:rPr>
        <w:t>8、</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需递交营业执照、纳税证明、征信证明、项目运营方案、保障措施等（复印件需加盖公章）。</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参与报价单位请在接收询价单后5个工作日内（</w:t>
      </w:r>
      <w:r>
        <w:rPr>
          <w:rFonts w:hint="eastAsia" w:ascii="仿宋" w:hAnsi="仿宋" w:eastAsia="仿宋" w:cs="仿宋"/>
          <w:b/>
          <w:bCs/>
          <w:i w:val="0"/>
          <w:color w:val="000000"/>
          <w:kern w:val="0"/>
          <w:sz w:val="24"/>
          <w:szCs w:val="24"/>
          <w:u w:val="none"/>
          <w:lang w:val="en-US" w:eastAsia="zh-CN" w:bidi="ar"/>
        </w:rPr>
        <w:t>3</w:t>
      </w:r>
      <w:r>
        <w:rPr>
          <w:rFonts w:hint="eastAsia" w:ascii="仿宋" w:hAnsi="仿宋" w:eastAsia="仿宋" w:cs="仿宋"/>
          <w:b/>
          <w:bCs/>
          <w:i w:val="0"/>
          <w:color w:val="auto"/>
          <w:kern w:val="0"/>
          <w:sz w:val="24"/>
          <w:szCs w:val="24"/>
          <w:u w:val="none"/>
          <w:lang w:val="en-US" w:eastAsia="zh-CN" w:bidi="ar"/>
        </w:rPr>
        <w:t>月13日12时截止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收件人：尹老师  电话81255925 （注：1、快件外部请写明项目名称，例：配套餐饮项目。2、</w:t>
      </w:r>
      <w:r>
        <w:rPr>
          <w:rStyle w:val="12"/>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12"/>
          <w:rFonts w:hint="eastAsia" w:ascii="仿宋" w:hAnsi="仿宋" w:eastAsia="仿宋" w:cs="仿宋"/>
          <w:b/>
          <w:bCs/>
          <w:i w:val="0"/>
          <w:caps w:val="0"/>
          <w:color w:val="212529"/>
          <w:spacing w:val="0"/>
          <w:sz w:val="24"/>
          <w:szCs w:val="24"/>
          <w:shd w:val="clear" w:fill="FFFFFF"/>
          <w:lang w:eastAsia="zh-CN"/>
        </w:rPr>
        <w:t>。</w:t>
      </w:r>
      <w:r>
        <w:rPr>
          <w:rStyle w:val="12"/>
          <w:rFonts w:hint="eastAsia" w:ascii="仿宋" w:hAnsi="仿宋" w:eastAsia="仿宋" w:cs="仿宋"/>
          <w:b/>
          <w:bCs/>
          <w:i w:val="0"/>
          <w:caps w:val="0"/>
          <w:color w:val="212529"/>
          <w:spacing w:val="0"/>
          <w:sz w:val="24"/>
          <w:szCs w:val="24"/>
          <w:shd w:val="clear" w:fill="FFFFFF"/>
          <w:lang w:val="en-US" w:eastAsia="zh-CN"/>
        </w:rPr>
        <w:t>3、所有文件均准备三份。4</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13"/>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pPr>
        <w:pStyle w:val="8"/>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如有疑问，详情咨询：0531-81255925。</w:t>
      </w:r>
    </w:p>
    <w:p>
      <w:pPr>
        <w:pStyle w:val="8"/>
        <w:ind w:left="0" w:leftChars="0" w:firstLine="480" w:firstLineChars="200"/>
        <w:rPr>
          <w:rFonts w:hint="eastAsia" w:ascii="仿宋" w:hAnsi="仿宋" w:eastAsia="仿宋" w:cs="仿宋"/>
          <w:sz w:val="24"/>
          <w:szCs w:val="32"/>
          <w:lang w:val="en-US" w:eastAsia="zh-CN"/>
        </w:rPr>
      </w:pPr>
    </w:p>
    <w:p>
      <w:pPr>
        <w:pStyle w:val="8"/>
        <w:ind w:left="0" w:leftChars="0" w:firstLine="480" w:firstLineChars="200"/>
        <w:rPr>
          <w:rFonts w:hint="eastAsia" w:ascii="仿宋" w:hAnsi="仿宋" w:eastAsia="仿宋" w:cs="仿宋"/>
          <w:sz w:val="24"/>
          <w:szCs w:val="32"/>
          <w:lang w:val="en-US" w:eastAsia="zh-CN"/>
        </w:rPr>
      </w:pPr>
    </w:p>
    <w:p>
      <w:pPr>
        <w:pStyle w:val="8"/>
        <w:ind w:left="0" w:leftChars="0" w:firstLine="480" w:firstLineChars="200"/>
        <w:rPr>
          <w:rFonts w:hint="eastAsia" w:ascii="仿宋" w:hAnsi="仿宋" w:eastAsia="仿宋" w:cs="仿宋"/>
          <w:sz w:val="24"/>
          <w:szCs w:val="32"/>
          <w:lang w:val="en-US" w:eastAsia="zh-CN"/>
        </w:rPr>
      </w:pPr>
    </w:p>
    <w:p>
      <w:pPr>
        <w:pStyle w:val="8"/>
        <w:ind w:left="0" w:leftChars="0" w:firstLine="480" w:firstLineChars="200"/>
        <w:rPr>
          <w:rFonts w:hint="eastAsia" w:ascii="仿宋" w:hAnsi="仿宋" w:eastAsia="仿宋" w:cs="仿宋"/>
          <w:sz w:val="24"/>
          <w:szCs w:val="32"/>
          <w:lang w:val="en-US" w:eastAsia="zh-CN"/>
        </w:rPr>
      </w:pPr>
    </w:p>
    <w:p>
      <w:pPr>
        <w:pStyle w:val="8"/>
        <w:ind w:left="0" w:leftChars="0" w:firstLine="480" w:firstLineChars="200"/>
        <w:rPr>
          <w:rFonts w:hint="eastAsia" w:ascii="仿宋" w:hAnsi="仿宋" w:eastAsia="仿宋" w:cs="仿宋"/>
          <w:sz w:val="24"/>
          <w:szCs w:val="32"/>
          <w:lang w:val="en-US" w:eastAsia="zh-CN"/>
        </w:rPr>
      </w:pPr>
    </w:p>
    <w:p>
      <w:pPr>
        <w:pStyle w:val="8"/>
        <w:ind w:left="0" w:leftChars="0" w:firstLine="480" w:firstLineChars="200"/>
        <w:rPr>
          <w:rFonts w:hint="eastAsia" w:ascii="仿宋" w:hAnsi="仿宋" w:eastAsia="仿宋" w:cs="仿宋"/>
          <w:sz w:val="24"/>
          <w:szCs w:val="32"/>
          <w:lang w:val="en-US" w:eastAsia="zh-CN"/>
        </w:rPr>
      </w:pPr>
    </w:p>
    <w:p>
      <w:pPr>
        <w:pStyle w:val="8"/>
        <w:ind w:left="0" w:leftChars="0" w:firstLine="480" w:firstLineChars="200"/>
        <w:rPr>
          <w:rFonts w:hint="eastAsia" w:ascii="仿宋" w:hAnsi="仿宋" w:eastAsia="仿宋" w:cs="仿宋"/>
          <w:sz w:val="24"/>
          <w:szCs w:val="32"/>
          <w:lang w:val="en-US" w:eastAsia="zh-CN"/>
        </w:rPr>
      </w:pPr>
    </w:p>
    <w:p>
      <w:pPr>
        <w:pStyle w:val="8"/>
        <w:ind w:left="0" w:leftChars="0" w:firstLine="480" w:firstLineChars="200"/>
        <w:rPr>
          <w:rFonts w:hint="eastAsia" w:ascii="仿宋" w:hAnsi="仿宋" w:eastAsia="仿宋" w:cs="仿宋"/>
          <w:sz w:val="24"/>
          <w:szCs w:val="32"/>
          <w:lang w:val="en-US" w:eastAsia="zh-CN"/>
        </w:rPr>
      </w:pPr>
    </w:p>
    <w:p>
      <w:pPr>
        <w:rPr>
          <w:rFonts w:hint="eastAsia" w:ascii="仿宋" w:hAnsi="仿宋" w:eastAsia="仿宋" w:cs="仿宋"/>
          <w:sz w:val="24"/>
          <w:szCs w:val="32"/>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方正小标宋简体" w:hAnsi="方正小标宋简体" w:eastAsia="方正小标宋简体" w:cs="方正小标宋简体"/>
          <w:sz w:val="36"/>
          <w:szCs w:val="44"/>
          <w:lang w:val="en-US" w:eastAsia="zh-CN"/>
        </w:rPr>
      </w:pPr>
      <w:r>
        <w:rPr>
          <w:rFonts w:hint="eastAsia" w:ascii="方正小标宋简体" w:hAnsi="方正小标宋简体" w:eastAsia="方正小标宋简体" w:cs="方正小标宋简体"/>
          <w:sz w:val="36"/>
          <w:szCs w:val="44"/>
          <w:lang w:val="en-US" w:eastAsia="zh-CN"/>
        </w:rPr>
        <w:t>山东国际会展集团临时餐饮服务商招募评分表</w:t>
      </w:r>
    </w:p>
    <w:tbl>
      <w:tblPr>
        <w:tblStyle w:val="10"/>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313"/>
        <w:gridCol w:w="935"/>
        <w:gridCol w:w="5274"/>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5" w:type="dxa"/>
            <w:noWrap w:val="0"/>
            <w:vAlign w:val="top"/>
          </w:tcPr>
          <w:p>
            <w:pPr>
              <w:jc w:val="center"/>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序号</w:t>
            </w:r>
          </w:p>
        </w:tc>
        <w:tc>
          <w:tcPr>
            <w:tcW w:w="1313" w:type="dxa"/>
            <w:noWrap w:val="0"/>
            <w:vAlign w:val="top"/>
          </w:tcPr>
          <w:p>
            <w:pPr>
              <w:jc w:val="center"/>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评分项</w:t>
            </w:r>
          </w:p>
        </w:tc>
        <w:tc>
          <w:tcPr>
            <w:tcW w:w="935" w:type="dxa"/>
            <w:noWrap w:val="0"/>
            <w:vAlign w:val="top"/>
          </w:tcPr>
          <w:p>
            <w:pPr>
              <w:jc w:val="center"/>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分值</w:t>
            </w:r>
          </w:p>
        </w:tc>
        <w:tc>
          <w:tcPr>
            <w:tcW w:w="5274" w:type="dxa"/>
            <w:noWrap w:val="0"/>
            <w:vAlign w:val="top"/>
          </w:tcPr>
          <w:p>
            <w:pPr>
              <w:jc w:val="center"/>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评分标准</w:t>
            </w:r>
          </w:p>
        </w:tc>
        <w:tc>
          <w:tcPr>
            <w:tcW w:w="1212" w:type="dxa"/>
            <w:noWrap w:val="0"/>
            <w:vAlign w:val="top"/>
          </w:tcPr>
          <w:p>
            <w:pPr>
              <w:jc w:val="center"/>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3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场地租金</w:t>
            </w:r>
          </w:p>
        </w:tc>
        <w:tc>
          <w:tcPr>
            <w:tcW w:w="93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40</w:t>
            </w:r>
          </w:p>
        </w:tc>
        <w:tc>
          <w:tcPr>
            <w:tcW w:w="52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租金以6万元/处/年为基准价，各参与单位报价与基准价比较，相同者得35分，报价每高于基准价2000元加1分，最高40分。报价低于基准价的，此项不得分。</w:t>
            </w:r>
          </w:p>
        </w:tc>
        <w:tc>
          <w:tcPr>
            <w:tcW w:w="1212" w:type="dxa"/>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3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企业资质</w:t>
            </w:r>
          </w:p>
        </w:tc>
        <w:tc>
          <w:tcPr>
            <w:tcW w:w="93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52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以参与报价单位提供的资质证明文件为评比标准，营业执照、纳税证明、征信证明等材料齐全得8分，文件每缺一项扣2分。营业范围切合切合展会服务需求、无安全事故、无赔偿记录、征信良好的可酌情加1-2分。</w:t>
            </w:r>
          </w:p>
        </w:tc>
        <w:tc>
          <w:tcPr>
            <w:tcW w:w="1212" w:type="dxa"/>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3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运营方案</w:t>
            </w:r>
          </w:p>
        </w:tc>
        <w:tc>
          <w:tcPr>
            <w:tcW w:w="93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w:t>
            </w:r>
          </w:p>
        </w:tc>
        <w:tc>
          <w:tcPr>
            <w:tcW w:w="52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根据承租人提供的餐饮保障方案（包括供应及配送服务方案、经营组织管理措施及保障措施等），以及经营方案安排，拟投入的服务人员等情况进行评分。根据提供的情况可分为一般、良、优三个等级，分别为0-9分，10-15分，16-20分，内容不全酌情扣分，若无此项相关内容则不得分。</w:t>
            </w:r>
          </w:p>
        </w:tc>
        <w:tc>
          <w:tcPr>
            <w:tcW w:w="1212" w:type="dxa"/>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3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保障措施</w:t>
            </w:r>
          </w:p>
        </w:tc>
        <w:tc>
          <w:tcPr>
            <w:tcW w:w="93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52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rPr>
              <w:t>根据承租人对食品安全管理制度、卫生管理制度</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保障措施</w:t>
            </w:r>
            <w:r>
              <w:rPr>
                <w:rFonts w:hint="eastAsia" w:ascii="仿宋_GB2312" w:hAnsi="仿宋_GB2312" w:eastAsia="仿宋_GB2312" w:cs="仿宋_GB2312"/>
                <w:color w:val="auto"/>
                <w:sz w:val="24"/>
                <w:szCs w:val="24"/>
                <w:lang w:val="en-US" w:eastAsia="zh-CN"/>
              </w:rPr>
              <w:t>以及</w:t>
            </w:r>
            <w:r>
              <w:rPr>
                <w:rFonts w:hint="eastAsia" w:ascii="仿宋_GB2312" w:hAnsi="仿宋_GB2312" w:eastAsia="仿宋_GB2312" w:cs="仿宋_GB2312"/>
                <w:color w:val="auto"/>
                <w:sz w:val="24"/>
                <w:szCs w:val="24"/>
              </w:rPr>
              <w:t>是否具备常态化疫情防控下采购、配送、防疫检验、突发事件的应急处理、疫情防控下的餐饮管理等方案，进行赋分。根据投标文件情况分为一般、良、优，分别酌情得0-</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分、</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分、</w:t>
            </w:r>
            <w:r>
              <w:rPr>
                <w:rFonts w:hint="eastAsia" w:ascii="仿宋_GB2312" w:hAnsi="仿宋_GB2312" w:eastAsia="仿宋_GB2312" w:cs="仿宋_GB2312"/>
                <w:color w:val="auto"/>
                <w:sz w:val="24"/>
                <w:szCs w:val="24"/>
                <w:lang w:val="en-US" w:eastAsia="zh-CN"/>
              </w:rPr>
              <w:t>11</w:t>
            </w: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分，内容不全酌情扣分，若此条缺项不得分。</w:t>
            </w:r>
          </w:p>
        </w:tc>
        <w:tc>
          <w:tcPr>
            <w:tcW w:w="1212" w:type="dxa"/>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3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主要业绩</w:t>
            </w:r>
          </w:p>
        </w:tc>
        <w:tc>
          <w:tcPr>
            <w:tcW w:w="93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52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参与本项目的企业近三年的类似业绩，每提供一份得3</w:t>
            </w:r>
            <w:bookmarkStart w:id="0" w:name="_GoBack"/>
            <w:bookmarkEnd w:id="0"/>
            <w:r>
              <w:rPr>
                <w:rFonts w:hint="eastAsia" w:ascii="仿宋_GB2312" w:hAnsi="仿宋_GB2312" w:eastAsia="仿宋_GB2312" w:cs="仿宋_GB2312"/>
                <w:sz w:val="24"/>
                <w:szCs w:val="24"/>
                <w:vertAlign w:val="baseline"/>
                <w:lang w:val="en-US" w:eastAsia="zh-CN"/>
              </w:rPr>
              <w:t>分，最多15分。（近三年类似项目业绩需提供相关证明材料并加盖公章）</w:t>
            </w:r>
          </w:p>
        </w:tc>
        <w:tc>
          <w:tcPr>
            <w:tcW w:w="1212" w:type="dxa"/>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168" w:type="dxa"/>
            <w:gridSpan w:val="2"/>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合计</w:t>
            </w:r>
          </w:p>
        </w:tc>
        <w:tc>
          <w:tcPr>
            <w:tcW w:w="6209" w:type="dxa"/>
            <w:gridSpan w:val="2"/>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212" w:type="dxa"/>
            <w:noWrap w:val="0"/>
            <w:vAlign w:val="center"/>
          </w:tcPr>
          <w:p>
            <w:pPr>
              <w:jc w:val="center"/>
              <w:rPr>
                <w:rFonts w:hint="eastAsia" w:ascii="仿宋_GB2312" w:hAnsi="仿宋_GB2312" w:eastAsia="仿宋_GB2312" w:cs="仿宋_GB2312"/>
                <w:sz w:val="24"/>
                <w:szCs w:val="24"/>
                <w:vertAlign w:val="baseline"/>
                <w:lang w:val="en-US" w:eastAsia="zh-CN"/>
              </w:rPr>
            </w:pPr>
          </w:p>
        </w:tc>
      </w:tr>
    </w:tbl>
    <w:p>
      <w:pPr>
        <w:jc w:val="center"/>
        <w:rPr>
          <w:rFonts w:hint="eastAsia" w:ascii="方正小标宋简体" w:hAnsi="方正小标宋简体" w:eastAsia="方正小标宋简体" w:cs="方正小标宋简体"/>
          <w:sz w:val="36"/>
          <w:szCs w:val="44"/>
          <w:lang w:val="en-US" w:eastAsia="zh-CN"/>
        </w:rPr>
      </w:pPr>
    </w:p>
    <w:p>
      <w:pPr>
        <w:pStyle w:val="4"/>
        <w:jc w:val="left"/>
        <w:rPr>
          <w:rFonts w:hint="eastAsia" w:ascii="仿宋_GB2312" w:hAnsi="仿宋_GB2312" w:eastAsia="仿宋_GB2312" w:cs="仿宋_GB2312"/>
          <w:sz w:val="32"/>
          <w:szCs w:val="32"/>
          <w:lang w:val="en-US" w:eastAsia="zh-CN"/>
        </w:rPr>
      </w:pPr>
    </w:p>
    <w:p>
      <w:pPr>
        <w:pStyle w:val="8"/>
        <w:ind w:left="0" w:leftChars="0" w:firstLine="480" w:firstLineChars="200"/>
        <w:rPr>
          <w:rFonts w:hint="eastAsia" w:ascii="仿宋" w:hAnsi="仿宋" w:eastAsia="仿宋" w:cs="仿宋"/>
          <w:sz w:val="24"/>
          <w:szCs w:val="32"/>
          <w:lang w:val="en-US" w:eastAsia="zh-CN"/>
        </w:rPr>
      </w:pPr>
    </w:p>
    <w:sectPr>
      <w:pgSz w:w="11906" w:h="16838"/>
      <w:pgMar w:top="1440" w:right="1009" w:bottom="1440" w:left="89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B6F290"/>
    <w:multiLevelType w:val="singleLevel"/>
    <w:tmpl w:val="19B6F290"/>
    <w:lvl w:ilvl="0" w:tentative="0">
      <w:start w:val="1"/>
      <w:numFmt w:val="chineseCounting"/>
      <w:suff w:val="nothing"/>
      <w:lvlText w:val="%1、"/>
      <w:lvlJc w:val="left"/>
      <w:rPr>
        <w:rFonts w:hint="eastAsia"/>
      </w:rPr>
    </w:lvl>
  </w:abstractNum>
  <w:abstractNum w:abstractNumId="1">
    <w:nsid w:val="1E7A2EA2"/>
    <w:multiLevelType w:val="singleLevel"/>
    <w:tmpl w:val="1E7A2EA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7AAF2D79"/>
    <w:rsid w:val="005D1C63"/>
    <w:rsid w:val="017151B6"/>
    <w:rsid w:val="0179282C"/>
    <w:rsid w:val="01A1716C"/>
    <w:rsid w:val="036D7940"/>
    <w:rsid w:val="073E237B"/>
    <w:rsid w:val="0852785C"/>
    <w:rsid w:val="08791EB3"/>
    <w:rsid w:val="0A8612FD"/>
    <w:rsid w:val="0BBB2471"/>
    <w:rsid w:val="0D574363"/>
    <w:rsid w:val="0E27137A"/>
    <w:rsid w:val="0E3E7468"/>
    <w:rsid w:val="0F560522"/>
    <w:rsid w:val="118232F4"/>
    <w:rsid w:val="119433AD"/>
    <w:rsid w:val="12243932"/>
    <w:rsid w:val="1413669C"/>
    <w:rsid w:val="14385C7A"/>
    <w:rsid w:val="1475255D"/>
    <w:rsid w:val="155271E9"/>
    <w:rsid w:val="160408D7"/>
    <w:rsid w:val="160A5610"/>
    <w:rsid w:val="16335C26"/>
    <w:rsid w:val="17B17E95"/>
    <w:rsid w:val="189712A8"/>
    <w:rsid w:val="19457B5B"/>
    <w:rsid w:val="19874143"/>
    <w:rsid w:val="1A6C7833"/>
    <w:rsid w:val="1C4B0539"/>
    <w:rsid w:val="1E827782"/>
    <w:rsid w:val="1EB36E92"/>
    <w:rsid w:val="21243ED3"/>
    <w:rsid w:val="21BC5F1C"/>
    <w:rsid w:val="21DE53E2"/>
    <w:rsid w:val="22CC050B"/>
    <w:rsid w:val="232E56F6"/>
    <w:rsid w:val="259D7CE3"/>
    <w:rsid w:val="25F31BFD"/>
    <w:rsid w:val="26B67141"/>
    <w:rsid w:val="272B2054"/>
    <w:rsid w:val="27CB32C1"/>
    <w:rsid w:val="27DA0237"/>
    <w:rsid w:val="28B01B1B"/>
    <w:rsid w:val="2911509E"/>
    <w:rsid w:val="2BB77A53"/>
    <w:rsid w:val="2C2816B5"/>
    <w:rsid w:val="2CEB3365"/>
    <w:rsid w:val="2D3C2017"/>
    <w:rsid w:val="2DB32E3C"/>
    <w:rsid w:val="2DB82EAA"/>
    <w:rsid w:val="2FB55C97"/>
    <w:rsid w:val="2FD233D9"/>
    <w:rsid w:val="30377750"/>
    <w:rsid w:val="31E814F0"/>
    <w:rsid w:val="33ED56C2"/>
    <w:rsid w:val="341E5171"/>
    <w:rsid w:val="34F31B7A"/>
    <w:rsid w:val="36FA000E"/>
    <w:rsid w:val="386860E2"/>
    <w:rsid w:val="38986313"/>
    <w:rsid w:val="38A83A80"/>
    <w:rsid w:val="3A815FF5"/>
    <w:rsid w:val="3B432363"/>
    <w:rsid w:val="3BB92288"/>
    <w:rsid w:val="3BE63799"/>
    <w:rsid w:val="3C353678"/>
    <w:rsid w:val="3CE1135C"/>
    <w:rsid w:val="3E185180"/>
    <w:rsid w:val="3EDC2955"/>
    <w:rsid w:val="405B41FF"/>
    <w:rsid w:val="45084A2A"/>
    <w:rsid w:val="45436FCB"/>
    <w:rsid w:val="45FF2A82"/>
    <w:rsid w:val="49157B29"/>
    <w:rsid w:val="49F57186"/>
    <w:rsid w:val="4B7C5F5B"/>
    <w:rsid w:val="4BD51C55"/>
    <w:rsid w:val="4C31205B"/>
    <w:rsid w:val="4C590A63"/>
    <w:rsid w:val="4DE04E8C"/>
    <w:rsid w:val="4E2B176A"/>
    <w:rsid w:val="4EAE7519"/>
    <w:rsid w:val="4F5E5174"/>
    <w:rsid w:val="4FD26BD3"/>
    <w:rsid w:val="502F330A"/>
    <w:rsid w:val="507D70FE"/>
    <w:rsid w:val="51C668F3"/>
    <w:rsid w:val="523F6B14"/>
    <w:rsid w:val="541336C2"/>
    <w:rsid w:val="54784416"/>
    <w:rsid w:val="54E879C4"/>
    <w:rsid w:val="558F4063"/>
    <w:rsid w:val="574A47FC"/>
    <w:rsid w:val="576A599B"/>
    <w:rsid w:val="57AE3E81"/>
    <w:rsid w:val="58DE20E2"/>
    <w:rsid w:val="5C2F74F7"/>
    <w:rsid w:val="5CB23F1F"/>
    <w:rsid w:val="5D3837A4"/>
    <w:rsid w:val="607E52A1"/>
    <w:rsid w:val="62EF34BE"/>
    <w:rsid w:val="62FF4D6E"/>
    <w:rsid w:val="64DA7648"/>
    <w:rsid w:val="660F274E"/>
    <w:rsid w:val="67073673"/>
    <w:rsid w:val="679308EB"/>
    <w:rsid w:val="691E2BBA"/>
    <w:rsid w:val="6A123D2A"/>
    <w:rsid w:val="6AC36D88"/>
    <w:rsid w:val="6C472CF7"/>
    <w:rsid w:val="6CE4448D"/>
    <w:rsid w:val="6CEE7919"/>
    <w:rsid w:val="6E297177"/>
    <w:rsid w:val="6F697154"/>
    <w:rsid w:val="6FCA617B"/>
    <w:rsid w:val="70971DF5"/>
    <w:rsid w:val="70DB2CE6"/>
    <w:rsid w:val="70EF2512"/>
    <w:rsid w:val="728C7879"/>
    <w:rsid w:val="72D60AF4"/>
    <w:rsid w:val="72E862CC"/>
    <w:rsid w:val="731F7F23"/>
    <w:rsid w:val="75314659"/>
    <w:rsid w:val="75745932"/>
    <w:rsid w:val="75867E79"/>
    <w:rsid w:val="7A143391"/>
    <w:rsid w:val="7AAF2D79"/>
    <w:rsid w:val="7AE76698"/>
    <w:rsid w:val="7B6C2E02"/>
    <w:rsid w:val="7DAF26CD"/>
    <w:rsid w:val="7DBB1A64"/>
    <w:rsid w:val="7F556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1I"/>
    <w:basedOn w:val="3"/>
    <w:qFormat/>
    <w:uiPriority w:val="0"/>
    <w:pPr>
      <w:ind w:firstLine="420"/>
    </w:pPr>
  </w:style>
  <w:style w:type="paragraph" w:customStyle="1" w:styleId="3">
    <w:name w:val="BodyText"/>
    <w:basedOn w:val="1"/>
    <w:qFormat/>
    <w:uiPriority w:val="0"/>
    <w:pPr>
      <w:spacing w:after="120"/>
    </w:pPr>
    <w:rPr>
      <w:szCs w:val="20"/>
    </w:rPr>
  </w:style>
  <w:style w:type="paragraph" w:styleId="4">
    <w:name w:val="Body Text"/>
    <w:basedOn w:val="1"/>
    <w:qFormat/>
    <w:uiPriority w:val="0"/>
    <w:pPr>
      <w:spacing w:after="120"/>
    </w:pPr>
    <w:rPr>
      <w:kern w:val="0"/>
      <w:sz w:val="24"/>
      <w:szCs w:val="20"/>
    </w:rPr>
  </w:style>
  <w:style w:type="paragraph" w:styleId="5">
    <w:name w:val="Body Text Indent"/>
    <w:basedOn w:val="1"/>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qFormat/>
    <w:uiPriority w:val="99"/>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1610</Words>
  <Characters>1714</Characters>
  <Lines>0</Lines>
  <Paragraphs>0</Paragraphs>
  <TotalTime>11</TotalTime>
  <ScaleCrop>false</ScaleCrop>
  <LinksUpToDate>false</LinksUpToDate>
  <CharactersWithSpaces>1718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马小马</cp:lastModifiedBy>
  <cp:lastPrinted>2022-08-22T07:58:00Z</cp:lastPrinted>
  <dcterms:modified xsi:type="dcterms:W3CDTF">2023-03-08T06:33:21Z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AADAD835830543C4A6F33420DC6BEB92</vt:lpwstr>
  </property>
</Properties>
</file>