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高新馆消防维保单位招募项目公告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2023年3月27日12时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山东国际会展集团有限公司根据实际情况和经营管理需要，对高新馆消防维保服务商进行招募公示，现诚邀资质合格的单位参加报价，请按相关要求进行响应。</w:t>
      </w:r>
    </w:p>
    <w:p>
      <w:pPr>
        <w:keepNext w:val="0"/>
        <w:keepLines w:val="0"/>
        <w:widowControl/>
        <w:numPr>
          <w:ilvl w:val="0"/>
          <w:numId w:val="0"/>
        </w:numPr>
        <w:suppressLineNumbers w:val="0"/>
        <w:spacing w:line="360" w:lineRule="auto"/>
        <w:ind w:firstLine="482" w:firstLineChars="200"/>
        <w:jc w:val="left"/>
        <w:textAlignment w:val="center"/>
        <w:rPr>
          <w:rFonts w:hint="eastAsia"/>
          <w:lang w:val="en-US" w:eastAsia="zh-CN"/>
        </w:rPr>
      </w:pPr>
      <w:r>
        <w:rPr>
          <w:rFonts w:hint="eastAsia" w:ascii="仿宋" w:hAnsi="仿宋" w:eastAsia="仿宋" w:cs="仿宋"/>
          <w:b/>
          <w:bCs/>
          <w:i w:val="0"/>
          <w:color w:val="000000"/>
          <w:kern w:val="0"/>
          <w:sz w:val="24"/>
          <w:szCs w:val="24"/>
          <w:u w:val="none"/>
          <w:lang w:val="en-US" w:eastAsia="zh-CN" w:bidi="ar"/>
        </w:rPr>
        <w:t>注：以下内容请认真阅览！</w:t>
      </w:r>
    </w:p>
    <w:p>
      <w:pPr>
        <w:pStyle w:val="4"/>
        <w:keepNext w:val="0"/>
        <w:keepLines w:val="0"/>
        <w:widowControl/>
        <w:suppressLineNumbers w:val="0"/>
        <w:rPr>
          <w:rFonts w:hint="default" w:ascii="楷体" w:hAnsi="楷体" w:eastAsia="楷体" w:cs="楷体"/>
          <w:b/>
          <w:bCs/>
          <w:sz w:val="28"/>
          <w:szCs w:val="28"/>
          <w:lang w:val="en-US" w:eastAsia="zh-CN"/>
        </w:rPr>
      </w:pPr>
      <w:r>
        <w:rPr>
          <w:rFonts w:hint="eastAsia" w:ascii="楷体" w:hAnsi="楷体" w:eastAsia="楷体" w:cs="楷体"/>
          <w:b/>
          <w:bCs/>
          <w:sz w:val="28"/>
          <w:szCs w:val="28"/>
        </w:rPr>
        <w:t>一、</w:t>
      </w:r>
      <w:r>
        <w:rPr>
          <w:rFonts w:hint="eastAsia" w:ascii="楷体" w:hAnsi="楷体" w:eastAsia="楷体" w:cs="楷体"/>
          <w:b/>
          <w:bCs/>
          <w:sz w:val="28"/>
          <w:szCs w:val="28"/>
          <w:lang w:val="en-US" w:eastAsia="zh-CN"/>
        </w:rPr>
        <w:t>项目要素</w:t>
      </w:r>
    </w:p>
    <w:p>
      <w:pPr>
        <w:pStyle w:val="4"/>
        <w:keepNext w:val="0"/>
        <w:keepLines w:val="0"/>
        <w:widowControl/>
        <w:suppressLineNumbers w:val="0"/>
        <w:rPr>
          <w:rFonts w:hint="eastAsia" w:ascii="仿宋" w:hAnsi="仿宋" w:eastAsia="仿宋" w:cs="仿宋"/>
        </w:rPr>
      </w:pPr>
      <w:r>
        <w:rPr>
          <w:sz w:val="24"/>
          <w:szCs w:val="24"/>
        </w:rPr>
        <w:t>　</w:t>
      </w:r>
      <w:r>
        <w:rPr>
          <w:rFonts w:hint="eastAsia" w:ascii="仿宋" w:hAnsi="仿宋" w:eastAsia="仿宋" w:cs="仿宋"/>
          <w:sz w:val="24"/>
          <w:szCs w:val="24"/>
        </w:rPr>
        <w:t>（一）采购内容：</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1、消防维保面积：约6万㎡</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2、火灾自动报警系统</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3、消火栓系统</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4、防排烟系统</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5、应急照明系统</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6、防火卷门系统</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7、喷淋系统</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8、建筑防火分隔和安全疏散设施。</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9、消防给水设施</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10、消防电器和通讯设施</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11、消防电梯等</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left="0" w:hanging="720" w:hangingChars="300"/>
        <w:textAlignment w:val="auto"/>
        <w:rPr>
          <w:rFonts w:hint="default" w:ascii="仿宋" w:hAnsi="仿宋" w:eastAsia="仿宋" w:cs="仿宋"/>
          <w:sz w:val="24"/>
          <w:szCs w:val="24"/>
          <w:lang w:val="en-US"/>
        </w:rPr>
      </w:pPr>
      <w:r>
        <w:rPr>
          <w:rFonts w:hint="eastAsia" w:ascii="仿宋" w:hAnsi="仿宋" w:eastAsia="仿宋" w:cs="仿宋"/>
          <w:sz w:val="24"/>
          <w:szCs w:val="24"/>
        </w:rPr>
        <w:t>　（二）</w:t>
      </w:r>
      <w:r>
        <w:rPr>
          <w:rFonts w:hint="eastAsia" w:ascii="仿宋" w:hAnsi="仿宋" w:eastAsia="仿宋" w:cs="仿宋"/>
          <w:sz w:val="24"/>
          <w:szCs w:val="24"/>
          <w:lang w:val="en-US" w:eastAsia="zh-CN"/>
        </w:rPr>
        <w:t>服务期限至2023年12月31日，费用控制在6.2万元以内。</w:t>
      </w:r>
      <w:r>
        <w:rPr>
          <w:rFonts w:hint="eastAsia" w:ascii="仿宋" w:hAnsi="仿宋" w:eastAsia="仿宋" w:cs="仿宋"/>
          <w:b w:val="0"/>
          <w:bCs w:val="0"/>
          <w:i w:val="0"/>
          <w:color w:val="000000"/>
          <w:kern w:val="0"/>
          <w:sz w:val="24"/>
          <w:szCs w:val="24"/>
          <w:u w:val="none"/>
          <w:lang w:val="en-US" w:eastAsia="zh-CN" w:bidi="ar"/>
        </w:rPr>
        <w:t>合同履行期限结束前，会展集团将依照有关政策，根据对服务商的服务满意度评价情况及当年的实际需求情况，综合评定合格后可按程序续签合同，最多续签两次。</w:t>
      </w:r>
    </w:p>
    <w:p>
      <w:pPr>
        <w:pStyle w:val="4"/>
        <w:keepNext w:val="0"/>
        <w:keepLines w:val="0"/>
        <w:widowControl/>
        <w:suppressLineNumbers w:val="0"/>
        <w:ind w:left="720" w:hanging="720" w:hangingChars="3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（三）招募方式：综合评分</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w:t>
      </w:r>
      <w:r>
        <w:rPr>
          <w:rFonts w:hint="eastAsia" w:ascii="楷体" w:hAnsi="楷体" w:eastAsia="楷体" w:cs="楷体"/>
          <w:b/>
          <w:bCs/>
          <w:sz w:val="28"/>
          <w:szCs w:val="28"/>
        </w:rPr>
        <w:t>二、参与报价企业资质要求</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（一）参与本次项目的企业单位必须是在中华人民共和国境内注册，并具有独立法人资格且有能力提供产品、售后服务和社会信誉良好的企业，且注册时间不得低于三年；</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（二）参与本次项目的企业单位具有良好的企业信用，以国家企业信用信息公示系统查询结果为准，查询网址：http：//www.gsxt.gov.cn/；</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三）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p>
    <w:p>
      <w:pPr>
        <w:pStyle w:val="4"/>
        <w:keepNext w:val="0"/>
        <w:keepLines w:val="0"/>
        <w:widowControl/>
        <w:suppressLineNumbers w:val="0"/>
        <w:ind w:firstLine="480"/>
        <w:rPr>
          <w:rFonts w:hint="eastAsia" w:ascii="仿宋" w:hAnsi="仿宋" w:eastAsia="仿宋" w:cs="仿宋"/>
          <w:b/>
          <w:bCs/>
          <w:sz w:val="24"/>
          <w:szCs w:val="24"/>
        </w:rPr>
      </w:pPr>
      <w:r>
        <w:rPr>
          <w:rFonts w:hint="eastAsia" w:ascii="仿宋" w:hAnsi="仿宋" w:eastAsia="仿宋" w:cs="仿宋"/>
          <w:b/>
          <w:bCs/>
          <w:sz w:val="24"/>
          <w:szCs w:val="24"/>
        </w:rPr>
        <w:t>（四）参与本项目单位需提供西门子消防系统授权证明。</w:t>
      </w:r>
    </w:p>
    <w:p>
      <w:pPr>
        <w:pStyle w:val="4"/>
        <w:keepNext w:val="0"/>
        <w:keepLines w:val="0"/>
        <w:widowControl/>
        <w:suppressLineNumbers w:val="0"/>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五</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本项目不接收联合体投标。</w:t>
      </w:r>
    </w:p>
    <w:p>
      <w:pPr>
        <w:pStyle w:val="4"/>
        <w:keepNext w:val="0"/>
        <w:keepLines w:val="0"/>
        <w:widowControl/>
        <w:suppressLineNumbers w:val="0"/>
        <w:rPr>
          <w:rFonts w:hint="eastAsia" w:ascii="楷体" w:hAnsi="楷体" w:eastAsia="楷体" w:cs="楷体"/>
          <w:b/>
          <w:bCs/>
          <w:sz w:val="28"/>
          <w:szCs w:val="28"/>
        </w:rPr>
      </w:pPr>
      <w:r>
        <w:rPr>
          <w:rFonts w:hint="eastAsia" w:ascii="楷体" w:hAnsi="楷体" w:eastAsia="楷体" w:cs="楷体"/>
          <w:b/>
          <w:bCs/>
          <w:sz w:val="28"/>
          <w:szCs w:val="28"/>
        </w:rPr>
        <w:t>　　三、报价要求及回传方式</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（一）报价要求</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1、报价为</w:t>
      </w:r>
      <w:r>
        <w:rPr>
          <w:rFonts w:hint="eastAsia" w:ascii="仿宋" w:hAnsi="仿宋" w:eastAsia="仿宋" w:cs="仿宋"/>
          <w:sz w:val="24"/>
          <w:szCs w:val="24"/>
          <w:lang w:val="en-US" w:eastAsia="zh-CN"/>
        </w:rPr>
        <w:t>含</w:t>
      </w:r>
      <w:r>
        <w:rPr>
          <w:rFonts w:hint="eastAsia" w:ascii="仿宋" w:hAnsi="仿宋" w:eastAsia="仿宋" w:cs="仿宋"/>
          <w:sz w:val="24"/>
          <w:szCs w:val="24"/>
        </w:rPr>
        <w:t>税价。</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2、</w:t>
      </w:r>
      <w:r>
        <w:rPr>
          <w:rFonts w:hint="eastAsia" w:ascii="仿宋" w:hAnsi="仿宋" w:eastAsia="仿宋" w:cs="仿宋"/>
          <w:i w:val="0"/>
          <w:color w:val="000000"/>
          <w:kern w:val="0"/>
          <w:sz w:val="24"/>
          <w:szCs w:val="24"/>
          <w:u w:val="none"/>
          <w:lang w:val="en-US" w:eastAsia="zh-CN" w:bidi="ar"/>
        </w:rPr>
        <w:t>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sz w:val="24"/>
          <w:szCs w:val="24"/>
        </w:rPr>
        <w:t>。</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3、</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需递交营业执照、纳税证明、征信证明、项目规划方案等（复印件需加盖公章）</w:t>
      </w:r>
      <w:r>
        <w:rPr>
          <w:rFonts w:hint="eastAsia" w:ascii="仿宋" w:hAnsi="仿宋" w:eastAsia="仿宋" w:cs="仿宋"/>
          <w:sz w:val="24"/>
          <w:szCs w:val="24"/>
        </w:rPr>
        <w:t>。</w:t>
      </w:r>
    </w:p>
    <w:p>
      <w:pPr>
        <w:pStyle w:val="4"/>
        <w:keepNext w:val="0"/>
        <w:keepLines w:val="0"/>
        <w:widowControl/>
        <w:suppressLineNumbers w:val="0"/>
        <w:rPr>
          <w:rFonts w:hint="eastAsia" w:ascii="仿宋" w:hAnsi="仿宋" w:eastAsia="仿宋" w:cs="仿宋"/>
        </w:rPr>
      </w:pPr>
      <w:r>
        <w:rPr>
          <w:rFonts w:hint="eastAsia" w:ascii="仿宋" w:hAnsi="仿宋" w:eastAsia="仿宋" w:cs="仿宋"/>
          <w:sz w:val="24"/>
          <w:szCs w:val="24"/>
        </w:rPr>
        <w:t>　　（二）</w:t>
      </w:r>
      <w:r>
        <w:rPr>
          <w:rFonts w:hint="eastAsia" w:ascii="仿宋" w:hAnsi="仿宋" w:eastAsia="仿宋" w:cs="仿宋"/>
          <w:sz w:val="24"/>
          <w:szCs w:val="24"/>
          <w:lang w:val="en-US" w:eastAsia="zh-CN"/>
        </w:rPr>
        <w:t>回传</w:t>
      </w:r>
      <w:r>
        <w:rPr>
          <w:rFonts w:hint="eastAsia" w:ascii="仿宋" w:hAnsi="仿宋" w:eastAsia="仿宋" w:cs="仿宋"/>
          <w:sz w:val="24"/>
          <w:szCs w:val="24"/>
        </w:rPr>
        <w:t>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bookmarkStart w:id="0" w:name="_GoBack"/>
      <w:bookmarkEnd w:id="0"/>
      <w:r>
        <w:rPr>
          <w:rFonts w:hint="eastAsia" w:ascii="仿宋" w:hAnsi="仿宋" w:eastAsia="仿宋" w:cs="仿宋"/>
          <w:i w:val="0"/>
          <w:color w:val="000000"/>
          <w:kern w:val="0"/>
          <w:sz w:val="24"/>
          <w:szCs w:val="24"/>
          <w:u w:val="none"/>
          <w:lang w:val="en-US" w:eastAsia="zh-CN" w:bidi="ar"/>
        </w:rPr>
        <w:t>参与报价单位请在接收询价单后3个工作日内（</w:t>
      </w:r>
      <w:r>
        <w:rPr>
          <w:rFonts w:hint="eastAsia" w:ascii="仿宋" w:hAnsi="仿宋" w:eastAsia="仿宋" w:cs="仿宋"/>
          <w:b/>
          <w:bCs/>
          <w:i w:val="0"/>
          <w:color w:val="000000"/>
          <w:kern w:val="0"/>
          <w:sz w:val="24"/>
          <w:szCs w:val="24"/>
          <w:u w:val="none"/>
          <w:lang w:val="en-US" w:eastAsia="zh-CN" w:bidi="ar"/>
        </w:rPr>
        <w:t>3</w:t>
      </w:r>
      <w:r>
        <w:rPr>
          <w:rFonts w:hint="eastAsia" w:ascii="仿宋" w:hAnsi="仿宋" w:eastAsia="仿宋" w:cs="仿宋"/>
          <w:b/>
          <w:bCs/>
          <w:i w:val="0"/>
          <w:color w:val="auto"/>
          <w:kern w:val="0"/>
          <w:sz w:val="24"/>
          <w:szCs w:val="24"/>
          <w:u w:val="none"/>
          <w:lang w:val="en-US" w:eastAsia="zh-CN" w:bidi="ar"/>
        </w:rPr>
        <w:t>月30日12时截止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（注：1、快件外部请写明项目名称，例：高新消防维保项目。2、</w:t>
      </w:r>
      <w:r>
        <w:rPr>
          <w:rStyle w:val="7"/>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7"/>
          <w:rFonts w:hint="eastAsia" w:ascii="仿宋" w:hAnsi="仿宋" w:eastAsia="仿宋" w:cs="仿宋"/>
          <w:b/>
          <w:bCs/>
          <w:i w:val="0"/>
          <w:caps w:val="0"/>
          <w:color w:val="212529"/>
          <w:spacing w:val="0"/>
          <w:sz w:val="24"/>
          <w:szCs w:val="24"/>
          <w:shd w:val="clear" w:fill="FFFFFF"/>
          <w:lang w:eastAsia="zh-CN"/>
        </w:rPr>
        <w:t>。</w:t>
      </w:r>
      <w:r>
        <w:rPr>
          <w:rStyle w:val="7"/>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、所有材料均准备三份。4、参与本项目单位请一并将项目联系人联系方式及营业执照发送至邮箱：</w:t>
      </w:r>
      <w:r>
        <w:rPr>
          <w:rStyle w:val="8"/>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eastAsia" w:ascii="仿宋" w:hAnsi="仿宋" w:eastAsia="仿宋" w:cs="仿宋"/>
          <w:sz w:val="24"/>
          <w:szCs w:val="24"/>
        </w:rPr>
      </w:pPr>
      <w:r>
        <w:rPr>
          <w:rFonts w:hint="eastAsia" w:ascii="仿宋" w:hAnsi="仿宋" w:eastAsia="仿宋" w:cs="仿宋"/>
          <w:sz w:val="24"/>
          <w:szCs w:val="32"/>
          <w:lang w:val="en-US" w:eastAsia="zh-CN"/>
        </w:rPr>
        <w:t>如有疑问请联系，项目技术咨询：0531-81255968；项目流程咨询：0531-81255925。</w:t>
      </w:r>
    </w:p>
    <w:p>
      <w:pPr>
        <w:pStyle w:val="4"/>
        <w:keepNext w:val="0"/>
        <w:keepLines w:val="0"/>
        <w:widowControl/>
        <w:numPr>
          <w:ilvl w:val="0"/>
          <w:numId w:val="1"/>
        </w:numPr>
        <w:suppressLineNumbers w:val="0"/>
        <w:ind w:firstLine="48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评分标准</w:t>
      </w:r>
    </w:p>
    <w:p>
      <w:pPr>
        <w:pStyle w:val="4"/>
        <w:keepNext w:val="0"/>
        <w:keepLines w:val="0"/>
        <w:widowControl/>
        <w:numPr>
          <w:ilvl w:val="0"/>
          <w:numId w:val="0"/>
        </w:numPr>
        <w:suppressLineNumbers w:val="0"/>
        <w:ind w:right="0" w:rightChars="0"/>
        <w:rPr>
          <w:rFonts w:hint="eastAsia" w:ascii="仿宋" w:hAnsi="仿宋" w:eastAsia="仿宋" w:cs="仿宋"/>
          <w:b w:val="0"/>
          <w:bCs w:val="0"/>
          <w:sz w:val="24"/>
          <w:szCs w:val="24"/>
          <w:lang w:val="en-US" w:eastAsia="zh-CN"/>
        </w:rPr>
      </w:pPr>
    </w:p>
    <w:tbl>
      <w:tblPr>
        <w:tblStyle w:val="5"/>
        <w:tblpPr w:leftFromText="180" w:rightFromText="180" w:vertAnchor="text" w:horzAnchor="page" w:tblpX="1173" w:tblpY="88"/>
        <w:tblOverlap w:val="never"/>
        <w:tblW w:w="99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1269"/>
        <w:gridCol w:w="849"/>
        <w:gridCol w:w="6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9" w:type="dxa"/>
            <w:noWrap w:val="0"/>
            <w:vAlign w:val="center"/>
          </w:tcPr>
          <w:p>
            <w:pPr>
              <w:pStyle w:val="9"/>
              <w:spacing w:before="39"/>
              <w:jc w:val="center"/>
              <w:rPr>
                <w:b/>
                <w:sz w:val="24"/>
                <w:szCs w:val="24"/>
              </w:rPr>
            </w:pPr>
            <w:r>
              <w:rPr>
                <w:b/>
                <w:sz w:val="24"/>
                <w:szCs w:val="24"/>
              </w:rPr>
              <w:t>序号</w:t>
            </w:r>
          </w:p>
        </w:tc>
        <w:tc>
          <w:tcPr>
            <w:tcW w:w="1269" w:type="dxa"/>
            <w:noWrap w:val="0"/>
            <w:vAlign w:val="center"/>
          </w:tcPr>
          <w:p>
            <w:pPr>
              <w:pStyle w:val="9"/>
              <w:ind w:right="76"/>
              <w:jc w:val="center"/>
              <w:rPr>
                <w:b/>
                <w:sz w:val="24"/>
                <w:szCs w:val="24"/>
              </w:rPr>
            </w:pPr>
            <w:r>
              <w:rPr>
                <w:b/>
                <w:sz w:val="24"/>
                <w:szCs w:val="24"/>
              </w:rPr>
              <w:t>评分内容</w:t>
            </w:r>
          </w:p>
        </w:tc>
        <w:tc>
          <w:tcPr>
            <w:tcW w:w="849" w:type="dxa"/>
            <w:noWrap w:val="0"/>
            <w:vAlign w:val="center"/>
          </w:tcPr>
          <w:p>
            <w:pPr>
              <w:pStyle w:val="9"/>
              <w:jc w:val="center"/>
              <w:rPr>
                <w:b/>
                <w:sz w:val="24"/>
                <w:szCs w:val="24"/>
              </w:rPr>
            </w:pPr>
            <w:r>
              <w:rPr>
                <w:b/>
                <w:sz w:val="24"/>
                <w:szCs w:val="24"/>
              </w:rPr>
              <w:t>分值</w:t>
            </w:r>
          </w:p>
        </w:tc>
        <w:tc>
          <w:tcPr>
            <w:tcW w:w="6952" w:type="dxa"/>
            <w:noWrap w:val="0"/>
            <w:vAlign w:val="center"/>
          </w:tcPr>
          <w:p>
            <w:pPr>
              <w:pStyle w:val="9"/>
              <w:ind w:right="2485"/>
              <w:jc w:val="center"/>
              <w:rPr>
                <w:b/>
                <w:sz w:val="24"/>
                <w:szCs w:val="24"/>
              </w:rPr>
            </w:pPr>
            <w:r>
              <w:rPr>
                <w:b/>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9929" w:type="dxa"/>
            <w:gridSpan w:val="4"/>
            <w:noWrap w:val="0"/>
            <w:vAlign w:val="center"/>
          </w:tcPr>
          <w:p>
            <w:pPr>
              <w:pStyle w:val="9"/>
              <w:spacing w:before="108"/>
              <w:ind w:left="3153" w:right="3139"/>
              <w:jc w:val="center"/>
              <w:rPr>
                <w:b/>
                <w:sz w:val="24"/>
                <w:szCs w:val="24"/>
              </w:rPr>
            </w:pPr>
            <w:r>
              <w:rPr>
                <w:b/>
                <w:sz w:val="24"/>
                <w:szCs w:val="24"/>
              </w:rPr>
              <w:t>价格评分（</w:t>
            </w:r>
            <w:r>
              <w:rPr>
                <w:rFonts w:hint="eastAsia"/>
                <w:b/>
                <w:sz w:val="24"/>
                <w:szCs w:val="24"/>
                <w:lang w:val="en-US" w:eastAsia="zh-CN"/>
              </w:rPr>
              <w:t>2</w:t>
            </w:r>
            <w:r>
              <w:rPr>
                <w:b/>
                <w:sz w:val="24"/>
                <w:szCs w:val="24"/>
              </w:rPr>
              <w:t>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59" w:type="dxa"/>
            <w:noWrap w:val="0"/>
            <w:vAlign w:val="center"/>
          </w:tcPr>
          <w:p>
            <w:pPr>
              <w:pStyle w:val="9"/>
              <w:jc w:val="center"/>
              <w:rPr>
                <w:b w:val="0"/>
                <w:bCs/>
                <w:sz w:val="22"/>
              </w:rPr>
            </w:pPr>
            <w:r>
              <w:rPr>
                <w:b w:val="0"/>
                <w:bCs/>
                <w:sz w:val="22"/>
              </w:rPr>
              <w:t>1</w:t>
            </w:r>
          </w:p>
        </w:tc>
        <w:tc>
          <w:tcPr>
            <w:tcW w:w="1269" w:type="dxa"/>
            <w:noWrap w:val="0"/>
            <w:vAlign w:val="center"/>
          </w:tcPr>
          <w:p>
            <w:pPr>
              <w:pStyle w:val="9"/>
              <w:jc w:val="center"/>
              <w:rPr>
                <w:b w:val="0"/>
                <w:bCs/>
                <w:sz w:val="22"/>
              </w:rPr>
            </w:pPr>
            <w:r>
              <w:rPr>
                <w:b w:val="0"/>
                <w:bCs/>
                <w:sz w:val="22"/>
              </w:rPr>
              <w:t>价格部分</w:t>
            </w:r>
          </w:p>
        </w:tc>
        <w:tc>
          <w:tcPr>
            <w:tcW w:w="849" w:type="dxa"/>
            <w:noWrap w:val="0"/>
            <w:vAlign w:val="center"/>
          </w:tcPr>
          <w:p>
            <w:pPr>
              <w:pStyle w:val="9"/>
              <w:jc w:val="center"/>
              <w:rPr>
                <w:b w:val="0"/>
                <w:bCs/>
                <w:sz w:val="22"/>
              </w:rPr>
            </w:pPr>
            <w:r>
              <w:rPr>
                <w:rFonts w:hint="eastAsia"/>
                <w:b w:val="0"/>
                <w:bCs/>
                <w:sz w:val="22"/>
                <w:lang w:val="en-US" w:eastAsia="zh-CN"/>
              </w:rPr>
              <w:t>20</w:t>
            </w:r>
            <w:r>
              <w:rPr>
                <w:b w:val="0"/>
                <w:bCs/>
                <w:sz w:val="22"/>
              </w:rPr>
              <w:t xml:space="preserve"> 分</w:t>
            </w:r>
          </w:p>
        </w:tc>
        <w:tc>
          <w:tcPr>
            <w:tcW w:w="6952" w:type="dxa"/>
            <w:noWrap w:val="0"/>
            <w:vAlign w:val="center"/>
          </w:tcPr>
          <w:p>
            <w:pPr>
              <w:pStyle w:val="9"/>
              <w:ind w:firstLine="440" w:firstLineChars="200"/>
              <w:jc w:val="left"/>
              <w:rPr>
                <w:b w:val="0"/>
                <w:bCs/>
                <w:sz w:val="22"/>
              </w:rPr>
            </w:pPr>
            <w:r>
              <w:rPr>
                <w:b w:val="0"/>
                <w:bCs/>
                <w:sz w:val="22"/>
              </w:rPr>
              <w:t>价格分计算方法：满足要求且</w:t>
            </w:r>
            <w:r>
              <w:rPr>
                <w:rFonts w:hint="eastAsia"/>
                <w:b w:val="0"/>
                <w:bCs/>
                <w:sz w:val="22"/>
                <w:lang w:val="en-US" w:eastAsia="zh-CN"/>
              </w:rPr>
              <w:t>报价</w:t>
            </w:r>
            <w:r>
              <w:rPr>
                <w:b w:val="0"/>
                <w:bCs/>
                <w:sz w:val="22"/>
              </w:rPr>
              <w:t>最低的为评标基准价，其价格分为</w:t>
            </w:r>
            <w:r>
              <w:rPr>
                <w:rFonts w:hint="eastAsia"/>
                <w:b w:val="0"/>
                <w:bCs/>
                <w:sz w:val="22"/>
                <w:lang w:val="en-US" w:eastAsia="zh-CN"/>
              </w:rPr>
              <w:t>20</w:t>
            </w:r>
            <w:r>
              <w:rPr>
                <w:b w:val="0"/>
                <w:bCs/>
                <w:sz w:val="22"/>
              </w:rPr>
              <w:t>分。其他投标人的价格分统一按照下列公式计算：投标报价得分=(评标基准价／投标报价)×价格权重（</w:t>
            </w:r>
            <w:r>
              <w:rPr>
                <w:rFonts w:hint="eastAsia"/>
                <w:b w:val="0"/>
                <w:bCs/>
                <w:sz w:val="22"/>
                <w:lang w:val="en-US" w:eastAsia="zh-CN"/>
              </w:rPr>
              <w:t>2</w:t>
            </w:r>
            <w:r>
              <w:rPr>
                <w:b w:val="0"/>
                <w:bCs/>
                <w:sz w:val="22"/>
              </w:rPr>
              <w:t>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29" w:type="dxa"/>
            <w:gridSpan w:val="4"/>
            <w:noWrap w:val="0"/>
            <w:vAlign w:val="center"/>
          </w:tcPr>
          <w:p>
            <w:pPr>
              <w:pStyle w:val="9"/>
              <w:jc w:val="center"/>
              <w:rPr>
                <w:b w:val="0"/>
                <w:bCs/>
                <w:sz w:val="22"/>
              </w:rPr>
            </w:pPr>
            <w:r>
              <w:rPr>
                <w:b/>
                <w:sz w:val="24"/>
                <w:szCs w:val="24"/>
              </w:rPr>
              <w:t>商务评分（</w:t>
            </w:r>
            <w:r>
              <w:rPr>
                <w:rFonts w:hint="eastAsia"/>
                <w:b/>
                <w:sz w:val="24"/>
                <w:szCs w:val="24"/>
                <w:lang w:val="en-US" w:eastAsia="zh-CN"/>
              </w:rPr>
              <w:t>30</w:t>
            </w:r>
            <w:r>
              <w:rPr>
                <w:b/>
                <w:sz w:val="24"/>
                <w:szCs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859" w:type="dxa"/>
            <w:noWrap w:val="0"/>
            <w:vAlign w:val="center"/>
          </w:tcPr>
          <w:p>
            <w:pPr>
              <w:pStyle w:val="9"/>
              <w:jc w:val="center"/>
              <w:rPr>
                <w:b w:val="0"/>
                <w:bCs/>
                <w:sz w:val="22"/>
              </w:rPr>
            </w:pPr>
            <w:r>
              <w:rPr>
                <w:b w:val="0"/>
                <w:bCs/>
                <w:sz w:val="22"/>
              </w:rPr>
              <w:t>1</w:t>
            </w:r>
          </w:p>
        </w:tc>
        <w:tc>
          <w:tcPr>
            <w:tcW w:w="1269" w:type="dxa"/>
            <w:noWrap w:val="0"/>
            <w:vAlign w:val="center"/>
          </w:tcPr>
          <w:p>
            <w:pPr>
              <w:pStyle w:val="9"/>
              <w:jc w:val="center"/>
              <w:rPr>
                <w:rFonts w:hint="default" w:eastAsia="宋体"/>
                <w:b w:val="0"/>
                <w:bCs/>
                <w:sz w:val="22"/>
                <w:lang w:val="en-US" w:eastAsia="zh-CN"/>
              </w:rPr>
            </w:pPr>
            <w:r>
              <w:rPr>
                <w:rFonts w:hint="eastAsia"/>
                <w:b w:val="0"/>
                <w:bCs/>
                <w:sz w:val="22"/>
                <w:lang w:val="en-US" w:eastAsia="zh-CN"/>
              </w:rPr>
              <w:t>企业认证</w:t>
            </w:r>
          </w:p>
        </w:tc>
        <w:tc>
          <w:tcPr>
            <w:tcW w:w="849" w:type="dxa"/>
            <w:noWrap w:val="0"/>
            <w:vAlign w:val="center"/>
          </w:tcPr>
          <w:p>
            <w:pPr>
              <w:pStyle w:val="9"/>
              <w:jc w:val="center"/>
              <w:rPr>
                <w:b w:val="0"/>
                <w:bCs/>
                <w:sz w:val="22"/>
              </w:rPr>
            </w:pPr>
            <w:r>
              <w:rPr>
                <w:rFonts w:hint="eastAsia"/>
                <w:b w:val="0"/>
                <w:bCs/>
                <w:sz w:val="22"/>
                <w:lang w:val="en-US" w:eastAsia="zh-CN"/>
              </w:rPr>
              <w:t>30</w:t>
            </w:r>
            <w:r>
              <w:rPr>
                <w:b w:val="0"/>
                <w:bCs/>
                <w:sz w:val="22"/>
              </w:rPr>
              <w:t xml:space="preserve"> 分</w:t>
            </w:r>
          </w:p>
        </w:tc>
        <w:tc>
          <w:tcPr>
            <w:tcW w:w="6952" w:type="dxa"/>
            <w:noWrap w:val="0"/>
            <w:vAlign w:val="center"/>
          </w:tcPr>
          <w:p>
            <w:pPr>
              <w:pStyle w:val="9"/>
              <w:jc w:val="left"/>
              <w:rPr>
                <w:rFonts w:hint="eastAsia"/>
                <w:b w:val="0"/>
                <w:bCs/>
                <w:sz w:val="22"/>
                <w:lang w:val="en-US" w:eastAsia="zh-CN"/>
              </w:rPr>
            </w:pPr>
            <w:r>
              <w:rPr>
                <w:b w:val="0"/>
                <w:bCs/>
                <w:sz w:val="22"/>
              </w:rPr>
              <w:t>具有</w:t>
            </w:r>
            <w:r>
              <w:rPr>
                <w:rFonts w:hint="eastAsia"/>
                <w:b w:val="0"/>
                <w:bCs/>
                <w:sz w:val="22"/>
                <w:lang w:val="en-US" w:eastAsia="zh-CN"/>
              </w:rPr>
              <w:t>消防维保资质，并提供营业执照复印件，得10分。</w:t>
            </w:r>
          </w:p>
          <w:p>
            <w:pPr>
              <w:pStyle w:val="9"/>
              <w:jc w:val="left"/>
              <w:rPr>
                <w:rFonts w:hint="eastAsia"/>
                <w:b w:val="0"/>
                <w:bCs/>
                <w:sz w:val="22"/>
                <w:lang w:val="en-US" w:eastAsia="zh-CN"/>
              </w:rPr>
            </w:pPr>
            <w:r>
              <w:rPr>
                <w:rFonts w:hint="eastAsia"/>
                <w:b w:val="0"/>
                <w:bCs/>
                <w:sz w:val="22"/>
                <w:lang w:val="en-US" w:eastAsia="zh-CN"/>
              </w:rPr>
              <w:t>无法提供资质或营业执照等企业认证文件，视为无效文件。</w:t>
            </w:r>
          </w:p>
          <w:p>
            <w:pPr>
              <w:pStyle w:val="9"/>
              <w:jc w:val="left"/>
              <w:rPr>
                <w:rFonts w:hint="default"/>
                <w:b w:val="0"/>
                <w:bCs/>
                <w:sz w:val="22"/>
                <w:lang w:val="en-US" w:eastAsia="zh-CN"/>
              </w:rPr>
            </w:pPr>
            <w:r>
              <w:rPr>
                <w:rFonts w:hint="eastAsia"/>
                <w:b w:val="0"/>
                <w:bCs/>
                <w:sz w:val="22"/>
                <w:lang w:val="en-US" w:eastAsia="zh-CN"/>
              </w:rPr>
              <w:t>提供近三年类似项目业绩，20分。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929" w:type="dxa"/>
            <w:gridSpan w:val="4"/>
            <w:noWrap w:val="0"/>
            <w:vAlign w:val="center"/>
          </w:tcPr>
          <w:p>
            <w:pPr>
              <w:pStyle w:val="9"/>
              <w:jc w:val="center"/>
              <w:rPr>
                <w:b w:val="0"/>
                <w:bCs/>
                <w:sz w:val="22"/>
              </w:rPr>
            </w:pPr>
            <w:r>
              <w:rPr>
                <w:rFonts w:hint="eastAsia"/>
                <w:b/>
                <w:sz w:val="24"/>
                <w:szCs w:val="24"/>
                <w:lang w:val="en-US" w:eastAsia="zh-CN"/>
              </w:rPr>
              <w:t>技术部分（50分）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859" w:type="dxa"/>
            <w:noWrap w:val="0"/>
            <w:vAlign w:val="top"/>
          </w:tcPr>
          <w:p>
            <w:pPr>
              <w:pStyle w:val="9"/>
              <w:rPr>
                <w:b/>
                <w:sz w:val="22"/>
              </w:rPr>
            </w:pPr>
          </w:p>
          <w:p>
            <w:pPr>
              <w:pStyle w:val="9"/>
              <w:rPr>
                <w:b/>
                <w:sz w:val="22"/>
              </w:rPr>
            </w:pPr>
          </w:p>
          <w:p>
            <w:pPr>
              <w:pStyle w:val="9"/>
              <w:rPr>
                <w:b/>
                <w:sz w:val="22"/>
              </w:rPr>
            </w:pPr>
          </w:p>
          <w:p>
            <w:pPr>
              <w:pStyle w:val="9"/>
              <w:spacing w:before="12"/>
              <w:rPr>
                <w:b/>
                <w:sz w:val="26"/>
              </w:rPr>
            </w:pPr>
          </w:p>
          <w:p>
            <w:pPr>
              <w:pStyle w:val="9"/>
              <w:ind w:left="4" w:leftChars="0"/>
              <w:jc w:val="center"/>
              <w:rPr>
                <w:b w:val="0"/>
                <w:bCs/>
                <w:sz w:val="22"/>
              </w:rPr>
            </w:pPr>
            <w:r>
              <w:rPr>
                <w:w w:val="100"/>
                <w:sz w:val="22"/>
              </w:rPr>
              <w:t>2</w:t>
            </w:r>
          </w:p>
        </w:tc>
        <w:tc>
          <w:tcPr>
            <w:tcW w:w="1269" w:type="dxa"/>
            <w:noWrap w:val="0"/>
            <w:vAlign w:val="top"/>
          </w:tcPr>
          <w:p>
            <w:pPr>
              <w:pStyle w:val="9"/>
              <w:rPr>
                <w:b/>
                <w:sz w:val="22"/>
              </w:rPr>
            </w:pPr>
          </w:p>
          <w:p>
            <w:pPr>
              <w:pStyle w:val="9"/>
              <w:rPr>
                <w:b/>
                <w:sz w:val="22"/>
              </w:rPr>
            </w:pPr>
          </w:p>
          <w:p>
            <w:pPr>
              <w:pStyle w:val="9"/>
              <w:rPr>
                <w:b/>
                <w:sz w:val="22"/>
              </w:rPr>
            </w:pPr>
          </w:p>
          <w:p>
            <w:pPr>
              <w:pStyle w:val="9"/>
              <w:spacing w:before="9"/>
              <w:rPr>
                <w:b/>
                <w:sz w:val="20"/>
              </w:rPr>
            </w:pPr>
          </w:p>
          <w:p>
            <w:pPr>
              <w:pStyle w:val="9"/>
              <w:spacing w:before="1"/>
              <w:ind w:left="210" w:leftChars="0"/>
              <w:rPr>
                <w:rFonts w:hint="eastAsia"/>
                <w:b w:val="0"/>
                <w:bCs/>
                <w:sz w:val="22"/>
                <w:lang w:val="en-US" w:eastAsia="zh-CN"/>
              </w:rPr>
            </w:pPr>
            <w:r>
              <w:rPr>
                <w:rFonts w:hint="eastAsia"/>
                <w:sz w:val="22"/>
                <w:lang w:val="en-US" w:eastAsia="zh-CN"/>
              </w:rPr>
              <w:t>维保</w:t>
            </w:r>
            <w:r>
              <w:rPr>
                <w:sz w:val="22"/>
              </w:rPr>
              <w:t>方案</w:t>
            </w:r>
          </w:p>
        </w:tc>
        <w:tc>
          <w:tcPr>
            <w:tcW w:w="849" w:type="dxa"/>
            <w:noWrap w:val="0"/>
            <w:vAlign w:val="top"/>
          </w:tcPr>
          <w:p>
            <w:pPr>
              <w:pStyle w:val="9"/>
              <w:rPr>
                <w:b/>
                <w:sz w:val="22"/>
              </w:rPr>
            </w:pPr>
          </w:p>
          <w:p>
            <w:pPr>
              <w:pStyle w:val="9"/>
              <w:rPr>
                <w:b/>
                <w:sz w:val="22"/>
              </w:rPr>
            </w:pPr>
          </w:p>
          <w:p>
            <w:pPr>
              <w:pStyle w:val="9"/>
              <w:rPr>
                <w:b/>
                <w:sz w:val="22"/>
              </w:rPr>
            </w:pPr>
          </w:p>
          <w:p>
            <w:pPr>
              <w:pStyle w:val="9"/>
              <w:spacing w:before="9"/>
              <w:rPr>
                <w:b/>
                <w:sz w:val="20"/>
              </w:rPr>
            </w:pPr>
          </w:p>
          <w:p>
            <w:pPr>
              <w:pStyle w:val="9"/>
              <w:spacing w:before="1"/>
              <w:ind w:left="186" w:leftChars="0"/>
              <w:rPr>
                <w:rFonts w:hint="eastAsia"/>
                <w:b w:val="0"/>
                <w:bCs/>
                <w:sz w:val="22"/>
                <w:lang w:val="en-US" w:eastAsia="zh-CN"/>
              </w:rPr>
            </w:pPr>
            <w:r>
              <w:rPr>
                <w:rFonts w:hint="eastAsia"/>
                <w:sz w:val="22"/>
                <w:lang w:val="en-US" w:eastAsia="zh-CN"/>
              </w:rPr>
              <w:t>20</w:t>
            </w:r>
            <w:r>
              <w:rPr>
                <w:sz w:val="22"/>
              </w:rPr>
              <w:t>分</w:t>
            </w:r>
          </w:p>
        </w:tc>
        <w:tc>
          <w:tcPr>
            <w:tcW w:w="6952" w:type="dxa"/>
            <w:noWrap w:val="0"/>
            <w:vAlign w:val="top"/>
          </w:tcPr>
          <w:p>
            <w:pPr>
              <w:pStyle w:val="9"/>
              <w:spacing w:before="36" w:line="304" w:lineRule="auto"/>
              <w:ind w:left="107" w:right="97" w:firstLine="424" w:firstLineChars="200"/>
              <w:jc w:val="both"/>
              <w:rPr>
                <w:sz w:val="22"/>
              </w:rPr>
            </w:pPr>
            <w:r>
              <w:rPr>
                <w:spacing w:val="-4"/>
                <w:sz w:val="22"/>
              </w:rPr>
              <w:t>对比各投标人的服务方案</w:t>
            </w:r>
            <w:r>
              <w:rPr>
                <w:spacing w:val="-3"/>
                <w:sz w:val="22"/>
              </w:rPr>
              <w:t>（</w:t>
            </w:r>
            <w:r>
              <w:rPr>
                <w:spacing w:val="-4"/>
                <w:sz w:val="22"/>
              </w:rPr>
              <w:t>包括但不限于维护服务流程、服</w:t>
            </w:r>
            <w:r>
              <w:rPr>
                <w:spacing w:val="-5"/>
                <w:sz w:val="22"/>
              </w:rPr>
              <w:t>务标准、服务管理、服务措施、安全保障措施等方面</w:t>
            </w:r>
            <w:r>
              <w:rPr>
                <w:spacing w:val="-8"/>
                <w:sz w:val="22"/>
              </w:rPr>
              <w:t>）</w:t>
            </w:r>
            <w:r>
              <w:rPr>
                <w:sz w:val="22"/>
              </w:rPr>
              <w:t>进行</w:t>
            </w:r>
            <w:r>
              <w:rPr>
                <w:spacing w:val="-2"/>
                <w:sz w:val="22"/>
              </w:rPr>
              <w:t>综合评价：</w:t>
            </w:r>
          </w:p>
          <w:p>
            <w:pPr>
              <w:pStyle w:val="9"/>
              <w:spacing w:before="2"/>
              <w:rPr>
                <w:sz w:val="22"/>
              </w:rPr>
            </w:pPr>
            <w:r>
              <w:rPr>
                <w:rFonts w:hint="eastAsia"/>
                <w:sz w:val="22"/>
                <w:lang w:val="en-US" w:eastAsia="zh-CN"/>
              </w:rPr>
              <w:t>维保</w:t>
            </w:r>
            <w:r>
              <w:rPr>
                <w:sz w:val="22"/>
              </w:rPr>
              <w:t>方案完整，各项措施全面，针对性强得</w:t>
            </w:r>
            <w:r>
              <w:rPr>
                <w:rFonts w:hint="eastAsia"/>
                <w:sz w:val="22"/>
                <w:lang w:val="en-US" w:eastAsia="zh-CN"/>
              </w:rPr>
              <w:t>15-20</w:t>
            </w:r>
            <w:r>
              <w:rPr>
                <w:sz w:val="22"/>
              </w:rPr>
              <w:t>分；</w:t>
            </w:r>
          </w:p>
          <w:p>
            <w:pPr>
              <w:pStyle w:val="9"/>
              <w:spacing w:before="78"/>
              <w:rPr>
                <w:sz w:val="22"/>
              </w:rPr>
            </w:pPr>
            <w:r>
              <w:rPr>
                <w:rFonts w:hint="eastAsia"/>
                <w:sz w:val="22"/>
                <w:lang w:val="en-US" w:eastAsia="zh-CN"/>
              </w:rPr>
              <w:t>维保</w:t>
            </w:r>
            <w:r>
              <w:rPr>
                <w:sz w:val="22"/>
              </w:rPr>
              <w:t>方案完整，各项措施较全面，针对性较强得10</w:t>
            </w:r>
            <w:r>
              <w:rPr>
                <w:rFonts w:hint="eastAsia"/>
                <w:sz w:val="22"/>
                <w:lang w:val="en-US" w:eastAsia="zh-CN"/>
              </w:rPr>
              <w:t>-15</w:t>
            </w:r>
            <w:r>
              <w:rPr>
                <w:sz w:val="22"/>
              </w:rPr>
              <w:t>分；</w:t>
            </w:r>
          </w:p>
          <w:p>
            <w:pPr>
              <w:pStyle w:val="9"/>
              <w:spacing w:before="75"/>
              <w:rPr>
                <w:sz w:val="22"/>
              </w:rPr>
            </w:pPr>
            <w:r>
              <w:rPr>
                <w:rFonts w:hint="eastAsia"/>
                <w:sz w:val="22"/>
                <w:lang w:val="en-US" w:eastAsia="zh-CN"/>
              </w:rPr>
              <w:t>维保</w:t>
            </w:r>
            <w:r>
              <w:rPr>
                <w:spacing w:val="-7"/>
                <w:sz w:val="22"/>
              </w:rPr>
              <w:t>方案较完整，各项措施不够全面，针对性一般得</w:t>
            </w:r>
            <w:r>
              <w:rPr>
                <w:sz w:val="22"/>
              </w:rPr>
              <w:t>5</w:t>
            </w:r>
            <w:r>
              <w:rPr>
                <w:rFonts w:hint="eastAsia"/>
                <w:sz w:val="22"/>
                <w:lang w:val="en-US" w:eastAsia="zh-CN"/>
              </w:rPr>
              <w:t>-10</w:t>
            </w:r>
            <w:r>
              <w:rPr>
                <w:spacing w:val="-16"/>
                <w:sz w:val="22"/>
              </w:rPr>
              <w:t>分；</w:t>
            </w:r>
          </w:p>
          <w:p>
            <w:pPr>
              <w:pStyle w:val="9"/>
              <w:spacing w:before="76"/>
              <w:rPr>
                <w:b w:val="0"/>
                <w:bCs/>
                <w:sz w:val="22"/>
              </w:rPr>
            </w:pPr>
            <w:r>
              <w:rPr>
                <w:rFonts w:hint="eastAsia"/>
                <w:sz w:val="22"/>
                <w:lang w:val="en-US" w:eastAsia="zh-CN"/>
              </w:rPr>
              <w:t>维保</w:t>
            </w:r>
            <w:r>
              <w:rPr>
                <w:sz w:val="22"/>
              </w:rPr>
              <w:t>方案不完整，各项措施不全面，针对性较差得1</w:t>
            </w:r>
            <w:r>
              <w:rPr>
                <w:rFonts w:hint="eastAsia"/>
                <w:sz w:val="22"/>
                <w:lang w:val="en-US" w:eastAsia="zh-CN"/>
              </w:rPr>
              <w:t>-5</w:t>
            </w:r>
            <w:r>
              <w:rPr>
                <w:sz w:val="2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859" w:type="dxa"/>
            <w:noWrap w:val="0"/>
            <w:vAlign w:val="center"/>
          </w:tcPr>
          <w:p>
            <w:pPr>
              <w:pStyle w:val="9"/>
              <w:spacing w:before="165"/>
              <w:jc w:val="center"/>
              <w:rPr>
                <w:b w:val="0"/>
                <w:bCs/>
                <w:sz w:val="22"/>
              </w:rPr>
            </w:pPr>
            <w:r>
              <w:rPr>
                <w:w w:val="100"/>
                <w:sz w:val="22"/>
              </w:rPr>
              <w:t>3</w:t>
            </w:r>
          </w:p>
        </w:tc>
        <w:tc>
          <w:tcPr>
            <w:tcW w:w="1269" w:type="dxa"/>
            <w:noWrap w:val="0"/>
            <w:vAlign w:val="center"/>
          </w:tcPr>
          <w:p>
            <w:pPr>
              <w:pStyle w:val="9"/>
              <w:jc w:val="center"/>
              <w:rPr>
                <w:rFonts w:hint="eastAsia" w:ascii="宋体" w:hAnsi="宋体" w:eastAsia="宋体" w:cs="宋体"/>
                <w:b w:val="0"/>
                <w:bCs/>
                <w:sz w:val="22"/>
                <w:lang w:val="en-US" w:eastAsia="zh-CN"/>
              </w:rPr>
            </w:pPr>
            <w:r>
              <w:rPr>
                <w:rFonts w:hint="eastAsia"/>
                <w:sz w:val="22"/>
                <w:lang w:val="en-US" w:eastAsia="zh-CN"/>
              </w:rPr>
              <w:t>质</w:t>
            </w:r>
            <w:r>
              <w:rPr>
                <w:rFonts w:hint="eastAsia" w:ascii="宋体" w:hAnsi="宋体" w:eastAsia="宋体" w:cs="宋体"/>
                <w:b w:val="0"/>
                <w:bCs/>
                <w:sz w:val="22"/>
                <w:lang w:val="en-US" w:eastAsia="zh-CN"/>
              </w:rPr>
              <w:t>量保证</w:t>
            </w:r>
          </w:p>
          <w:p>
            <w:pPr>
              <w:pStyle w:val="9"/>
              <w:jc w:val="center"/>
              <w:rPr>
                <w:rFonts w:hint="eastAsia"/>
                <w:b w:val="0"/>
                <w:bCs/>
                <w:sz w:val="22"/>
                <w:lang w:val="en-US" w:eastAsia="zh-CN"/>
              </w:rPr>
            </w:pPr>
            <w:r>
              <w:rPr>
                <w:rFonts w:hint="eastAsia" w:ascii="宋体" w:hAnsi="宋体" w:eastAsia="宋体" w:cs="宋体"/>
                <w:b w:val="0"/>
                <w:bCs/>
                <w:sz w:val="22"/>
                <w:lang w:val="en-US" w:eastAsia="zh-CN"/>
              </w:rPr>
              <w:t>措施</w:t>
            </w:r>
          </w:p>
        </w:tc>
        <w:tc>
          <w:tcPr>
            <w:tcW w:w="849" w:type="dxa"/>
            <w:noWrap w:val="0"/>
            <w:vAlign w:val="top"/>
          </w:tcPr>
          <w:p>
            <w:pPr>
              <w:pStyle w:val="9"/>
              <w:rPr>
                <w:b/>
                <w:sz w:val="22"/>
              </w:rPr>
            </w:pPr>
          </w:p>
          <w:p>
            <w:pPr>
              <w:pStyle w:val="9"/>
              <w:rPr>
                <w:b/>
                <w:sz w:val="22"/>
              </w:rPr>
            </w:pPr>
          </w:p>
          <w:p>
            <w:pPr>
              <w:pStyle w:val="9"/>
              <w:ind w:firstLine="220" w:firstLineChars="100"/>
              <w:rPr>
                <w:rFonts w:hint="eastAsia"/>
                <w:b w:val="0"/>
                <w:bCs/>
                <w:sz w:val="22"/>
                <w:lang w:val="en-US" w:eastAsia="zh-CN"/>
              </w:rPr>
            </w:pPr>
            <w:r>
              <w:rPr>
                <w:rFonts w:hint="eastAsia"/>
                <w:sz w:val="22"/>
                <w:lang w:val="en-US" w:eastAsia="zh-CN"/>
              </w:rPr>
              <w:t>15</w:t>
            </w:r>
            <w:r>
              <w:rPr>
                <w:sz w:val="22"/>
              </w:rPr>
              <w:t>分</w:t>
            </w:r>
          </w:p>
        </w:tc>
        <w:tc>
          <w:tcPr>
            <w:tcW w:w="6952" w:type="dxa"/>
            <w:noWrap w:val="0"/>
            <w:vAlign w:val="top"/>
          </w:tcPr>
          <w:p>
            <w:pPr>
              <w:pStyle w:val="9"/>
              <w:spacing w:before="39" w:line="304" w:lineRule="auto"/>
              <w:ind w:left="107" w:right="97" w:firstLine="424" w:firstLineChars="200"/>
              <w:jc w:val="both"/>
              <w:rPr>
                <w:sz w:val="22"/>
              </w:rPr>
            </w:pPr>
            <w:r>
              <w:rPr>
                <w:spacing w:val="-4"/>
                <w:sz w:val="22"/>
              </w:rPr>
              <w:t>投标文件中质量保障措施详细阐述项目质量保障方案，包括</w:t>
            </w:r>
            <w:r>
              <w:rPr>
                <w:spacing w:val="-5"/>
                <w:sz w:val="22"/>
              </w:rPr>
              <w:t>但不限于质量控制方案、团队能力保障方案及质量管理制度等。</w:t>
            </w:r>
          </w:p>
          <w:p>
            <w:pPr>
              <w:pStyle w:val="9"/>
              <w:spacing w:before="1"/>
              <w:rPr>
                <w:sz w:val="22"/>
              </w:rPr>
            </w:pPr>
            <w:r>
              <w:rPr>
                <w:sz w:val="22"/>
              </w:rPr>
              <w:t>质量保障措施及方案科学、详实得</w:t>
            </w:r>
            <w:r>
              <w:rPr>
                <w:rFonts w:hint="eastAsia"/>
                <w:sz w:val="22"/>
                <w:lang w:val="en-US" w:eastAsia="zh-CN"/>
              </w:rPr>
              <w:t>10-15</w:t>
            </w:r>
            <w:r>
              <w:rPr>
                <w:sz w:val="22"/>
              </w:rPr>
              <w:t>分；</w:t>
            </w:r>
          </w:p>
          <w:p>
            <w:pPr>
              <w:pStyle w:val="9"/>
              <w:spacing w:before="78"/>
              <w:rPr>
                <w:sz w:val="22"/>
              </w:rPr>
            </w:pPr>
            <w:r>
              <w:rPr>
                <w:sz w:val="22"/>
              </w:rPr>
              <w:t>质量保障措施及方案合理得</w:t>
            </w:r>
            <w:r>
              <w:rPr>
                <w:rFonts w:hint="eastAsia"/>
                <w:sz w:val="22"/>
                <w:lang w:val="en-US" w:eastAsia="zh-CN"/>
              </w:rPr>
              <w:t>5-10</w:t>
            </w:r>
            <w:r>
              <w:rPr>
                <w:sz w:val="22"/>
              </w:rPr>
              <w:t>分；</w:t>
            </w:r>
          </w:p>
          <w:p>
            <w:pPr>
              <w:pStyle w:val="9"/>
              <w:spacing w:before="76"/>
              <w:rPr>
                <w:b w:val="0"/>
                <w:bCs/>
                <w:sz w:val="22"/>
              </w:rPr>
            </w:pPr>
            <w:r>
              <w:rPr>
                <w:sz w:val="22"/>
              </w:rPr>
              <w:t>质量保障措施及方案符合要求但缺乏合理性得1</w:t>
            </w:r>
            <w:r>
              <w:rPr>
                <w:rFonts w:hint="eastAsia"/>
                <w:sz w:val="22"/>
                <w:lang w:val="en-US" w:eastAsia="zh-CN"/>
              </w:rPr>
              <w:t>-5</w:t>
            </w:r>
            <w:r>
              <w:rPr>
                <w:sz w:val="2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859" w:type="dxa"/>
            <w:noWrap w:val="0"/>
            <w:vAlign w:val="top"/>
          </w:tcPr>
          <w:p>
            <w:pPr>
              <w:pStyle w:val="9"/>
              <w:rPr>
                <w:b/>
                <w:sz w:val="22"/>
              </w:rPr>
            </w:pPr>
          </w:p>
          <w:p>
            <w:pPr>
              <w:pStyle w:val="9"/>
              <w:rPr>
                <w:b/>
                <w:sz w:val="22"/>
              </w:rPr>
            </w:pPr>
          </w:p>
          <w:p>
            <w:pPr>
              <w:pStyle w:val="9"/>
              <w:rPr>
                <w:b/>
                <w:sz w:val="21"/>
              </w:rPr>
            </w:pPr>
          </w:p>
          <w:p>
            <w:pPr>
              <w:pStyle w:val="9"/>
              <w:ind w:left="4" w:leftChars="0" w:right="0" w:rightChars="0"/>
              <w:jc w:val="center"/>
              <w:rPr>
                <w:b w:val="0"/>
                <w:bCs/>
                <w:sz w:val="22"/>
              </w:rPr>
            </w:pPr>
            <w:r>
              <w:rPr>
                <w:w w:val="100"/>
                <w:sz w:val="22"/>
              </w:rPr>
              <w:t>5</w:t>
            </w:r>
          </w:p>
        </w:tc>
        <w:tc>
          <w:tcPr>
            <w:tcW w:w="1269" w:type="dxa"/>
            <w:noWrap w:val="0"/>
            <w:vAlign w:val="center"/>
          </w:tcPr>
          <w:p>
            <w:pPr>
              <w:pStyle w:val="9"/>
              <w:jc w:val="both"/>
              <w:rPr>
                <w:rFonts w:hint="eastAsia" w:ascii="宋体" w:hAnsi="宋体" w:eastAsia="宋体" w:cs="宋体"/>
                <w:b w:val="0"/>
                <w:bCs/>
                <w:sz w:val="22"/>
                <w:lang w:val="en-US" w:eastAsia="zh-CN"/>
              </w:rPr>
            </w:pPr>
          </w:p>
          <w:p>
            <w:pPr>
              <w:pStyle w:val="9"/>
              <w:jc w:val="center"/>
              <w:rPr>
                <w:rFonts w:hint="eastAsia" w:ascii="宋体" w:hAnsi="宋体" w:eastAsia="宋体" w:cs="宋体"/>
                <w:b w:val="0"/>
                <w:bCs/>
                <w:sz w:val="22"/>
                <w:lang w:val="en-US" w:eastAsia="zh-CN"/>
              </w:rPr>
            </w:pPr>
            <w:r>
              <w:rPr>
                <w:rFonts w:hint="eastAsia" w:ascii="宋体" w:hAnsi="宋体" w:eastAsia="宋体" w:cs="宋体"/>
                <w:b w:val="0"/>
                <w:bCs/>
                <w:sz w:val="22"/>
                <w:lang w:val="en-US" w:eastAsia="zh-CN"/>
              </w:rPr>
              <w:t>应急抢修</w:t>
            </w:r>
          </w:p>
          <w:p>
            <w:pPr>
              <w:pStyle w:val="9"/>
              <w:jc w:val="center"/>
              <w:rPr>
                <w:rFonts w:hint="eastAsia"/>
                <w:b w:val="0"/>
                <w:bCs/>
                <w:sz w:val="22"/>
                <w:lang w:val="en-US" w:eastAsia="zh-CN"/>
              </w:rPr>
            </w:pPr>
            <w:r>
              <w:rPr>
                <w:rFonts w:hint="eastAsia" w:ascii="宋体" w:hAnsi="宋体" w:eastAsia="宋体" w:cs="宋体"/>
                <w:b w:val="0"/>
                <w:bCs/>
                <w:sz w:val="22"/>
                <w:lang w:val="en-US" w:eastAsia="zh-CN"/>
              </w:rPr>
              <w:t>及解决措施</w:t>
            </w:r>
          </w:p>
        </w:tc>
        <w:tc>
          <w:tcPr>
            <w:tcW w:w="849" w:type="dxa"/>
            <w:noWrap w:val="0"/>
            <w:vAlign w:val="top"/>
          </w:tcPr>
          <w:p>
            <w:pPr>
              <w:pStyle w:val="9"/>
              <w:jc w:val="center"/>
              <w:rPr>
                <w:rFonts w:hint="eastAsia" w:ascii="宋体" w:hAnsi="宋体" w:eastAsia="宋体" w:cs="宋体"/>
                <w:b w:val="0"/>
                <w:bCs/>
                <w:sz w:val="22"/>
                <w:lang w:val="en-US" w:eastAsia="zh-CN"/>
              </w:rPr>
            </w:pPr>
          </w:p>
          <w:p>
            <w:pPr>
              <w:pStyle w:val="9"/>
              <w:jc w:val="center"/>
              <w:rPr>
                <w:rFonts w:hint="eastAsia" w:ascii="宋体" w:hAnsi="宋体" w:eastAsia="宋体" w:cs="宋体"/>
                <w:b w:val="0"/>
                <w:bCs/>
                <w:sz w:val="22"/>
                <w:lang w:val="en-US" w:eastAsia="zh-CN"/>
              </w:rPr>
            </w:pPr>
          </w:p>
          <w:p>
            <w:pPr>
              <w:pStyle w:val="9"/>
              <w:jc w:val="center"/>
              <w:rPr>
                <w:rFonts w:hint="eastAsia"/>
                <w:b w:val="0"/>
                <w:bCs/>
                <w:sz w:val="22"/>
                <w:lang w:val="en-US" w:eastAsia="zh-CN"/>
              </w:rPr>
            </w:pPr>
            <w:r>
              <w:rPr>
                <w:rFonts w:hint="eastAsia" w:ascii="宋体" w:hAnsi="宋体" w:eastAsia="宋体" w:cs="宋体"/>
                <w:b w:val="0"/>
                <w:bCs/>
                <w:sz w:val="22"/>
                <w:lang w:val="en-US" w:eastAsia="zh-CN"/>
              </w:rPr>
              <w:t>15分</w:t>
            </w:r>
          </w:p>
        </w:tc>
        <w:tc>
          <w:tcPr>
            <w:tcW w:w="6952" w:type="dxa"/>
            <w:noWrap w:val="0"/>
            <w:vAlign w:val="top"/>
          </w:tcPr>
          <w:p>
            <w:pPr>
              <w:pStyle w:val="9"/>
              <w:spacing w:before="39" w:line="304" w:lineRule="auto"/>
              <w:ind w:left="107" w:right="98" w:firstLine="420" w:firstLineChars="200"/>
              <w:rPr>
                <w:spacing w:val="-3"/>
                <w:sz w:val="22"/>
              </w:rPr>
            </w:pPr>
            <w:r>
              <w:rPr>
                <w:spacing w:val="-5"/>
                <w:sz w:val="22"/>
              </w:rPr>
              <w:t>投标人针对意外事故，重大接待任务，重大节假日或活动等</w:t>
            </w:r>
            <w:r>
              <w:rPr>
                <w:spacing w:val="-3"/>
                <w:sz w:val="22"/>
              </w:rPr>
              <w:t xml:space="preserve">特殊情况制定的应急抢修方案及解决措施进行综合评价： </w:t>
            </w:r>
          </w:p>
          <w:p>
            <w:pPr>
              <w:pStyle w:val="9"/>
              <w:spacing w:before="39" w:line="304" w:lineRule="auto"/>
              <w:ind w:right="98"/>
              <w:rPr>
                <w:sz w:val="22"/>
              </w:rPr>
            </w:pPr>
            <w:r>
              <w:rPr>
                <w:spacing w:val="-8"/>
                <w:sz w:val="22"/>
              </w:rPr>
              <w:t>制定的应急抢修方</w:t>
            </w:r>
            <w:r>
              <w:rPr>
                <w:rFonts w:hint="eastAsia"/>
                <w:spacing w:val="-8"/>
                <w:sz w:val="22"/>
                <w:lang w:val="en-US" w:eastAsia="zh-CN"/>
              </w:rPr>
              <w:t xml:space="preserve">  </w:t>
            </w:r>
            <w:r>
              <w:rPr>
                <w:spacing w:val="-8"/>
                <w:sz w:val="22"/>
              </w:rPr>
              <w:t>案科学合理，解决措施妥当得</w:t>
            </w:r>
            <w:r>
              <w:rPr>
                <w:sz w:val="22"/>
              </w:rPr>
              <w:t>10</w:t>
            </w:r>
            <w:r>
              <w:rPr>
                <w:rFonts w:hint="eastAsia"/>
                <w:sz w:val="22"/>
                <w:lang w:val="en-US" w:eastAsia="zh-CN"/>
              </w:rPr>
              <w:t>-15</w:t>
            </w:r>
            <w:r>
              <w:rPr>
                <w:spacing w:val="-19"/>
                <w:sz w:val="22"/>
              </w:rPr>
              <w:t>分；</w:t>
            </w:r>
          </w:p>
          <w:p>
            <w:pPr>
              <w:pStyle w:val="9"/>
              <w:spacing w:before="1"/>
              <w:rPr>
                <w:sz w:val="22"/>
              </w:rPr>
            </w:pPr>
            <w:r>
              <w:rPr>
                <w:spacing w:val="-8"/>
                <w:sz w:val="22"/>
              </w:rPr>
              <w:t>制定的应急抢修方案较科学合理，解决措施较妥当得</w:t>
            </w:r>
            <w:r>
              <w:rPr>
                <w:rFonts w:hint="eastAsia"/>
                <w:sz w:val="22"/>
                <w:lang w:val="en-US" w:eastAsia="zh-CN"/>
              </w:rPr>
              <w:t>5-10</w:t>
            </w:r>
            <w:r>
              <w:rPr>
                <w:spacing w:val="-17"/>
                <w:sz w:val="22"/>
              </w:rPr>
              <w:t>分；</w:t>
            </w:r>
          </w:p>
          <w:p>
            <w:pPr>
              <w:pStyle w:val="9"/>
              <w:spacing w:before="78"/>
              <w:ind w:right="0" w:rightChars="0"/>
              <w:rPr>
                <w:b w:val="0"/>
                <w:bCs/>
                <w:sz w:val="22"/>
              </w:rPr>
            </w:pPr>
            <w:r>
              <w:rPr>
                <w:sz w:val="22"/>
              </w:rPr>
              <w:t>制定的应急抢修方案不够合理，解决措施欠妥当得</w:t>
            </w:r>
            <w:r>
              <w:rPr>
                <w:rFonts w:hint="eastAsia"/>
                <w:sz w:val="22"/>
                <w:lang w:val="en-US" w:eastAsia="zh-CN"/>
              </w:rPr>
              <w:t>1-5</w:t>
            </w:r>
            <w:r>
              <w:rPr>
                <w:sz w:val="22"/>
              </w:rPr>
              <w:t>分。</w:t>
            </w:r>
          </w:p>
        </w:tc>
      </w:tr>
    </w:tbl>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2ABD1"/>
    <w:multiLevelType w:val="singleLevel"/>
    <w:tmpl w:val="3982ABD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57741337"/>
    <w:rsid w:val="172B1B4C"/>
    <w:rsid w:val="21213934"/>
    <w:rsid w:val="38F250CA"/>
    <w:rsid w:val="402C61BF"/>
    <w:rsid w:val="57741337"/>
    <w:rsid w:val="6A385D18"/>
    <w:rsid w:val="6F604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1613</Words>
  <Characters>1747</Characters>
  <Lines>0</Lines>
  <Paragraphs>0</Paragraphs>
  <TotalTime>252</TotalTime>
  <ScaleCrop>false</ScaleCrop>
  <LinksUpToDate>false</LinksUpToDate>
  <CharactersWithSpaces>1805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2023-03-14T08:02:00Z</dcterms:created>
  <dc:creator>马小马</dc:creator>
  <cp:lastModifiedBy>马小马</cp:lastModifiedBy>
  <dcterms:modified xsi:type="dcterms:W3CDTF">2023-03-27T06:44:34Z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E9A371C25C834816A9C961C190F1894D</vt:lpwstr>
  </property>
</Properties>
</file>