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山东国际会展集团有限公司</w:t>
      </w:r>
    </w:p>
    <w:p>
      <w:pPr>
        <w:keepNext w:val="0"/>
        <w:keepLines w:val="0"/>
        <w:widowControl/>
        <w:suppressLineNumbers w:val="0"/>
        <w:jc w:val="center"/>
        <w:textAlignment w:val="center"/>
        <w:rPr>
          <w:rFonts w:hint="eastAsia" w:ascii="仿宋" w:hAnsi="仿宋" w:eastAsia="仿宋" w:cs="仿宋"/>
          <w:b/>
          <w:bCs/>
          <w:i w:val="0"/>
          <w:color w:val="000000"/>
          <w:kern w:val="0"/>
          <w:sz w:val="44"/>
          <w:szCs w:val="44"/>
          <w:u w:val="none"/>
          <w:lang w:val="en-US" w:eastAsia="zh-CN" w:bidi="ar"/>
        </w:rPr>
      </w:pPr>
      <w:r>
        <w:rPr>
          <w:rFonts w:hint="eastAsia" w:ascii="仿宋" w:hAnsi="仿宋" w:eastAsia="仿宋" w:cs="仿宋"/>
          <w:b/>
          <w:bCs/>
          <w:i w:val="0"/>
          <w:color w:val="000000"/>
          <w:kern w:val="0"/>
          <w:sz w:val="44"/>
          <w:szCs w:val="44"/>
          <w:u w:val="none"/>
          <w:lang w:val="en-US" w:eastAsia="zh-CN" w:bidi="ar"/>
        </w:rPr>
        <w:t>西馆气体灭火系统主机联网项目招募公告</w:t>
      </w:r>
    </w:p>
    <w:p>
      <w:pPr>
        <w:keepNext w:val="0"/>
        <w:keepLines w:val="0"/>
        <w:widowControl/>
        <w:suppressLineNumbers w:val="0"/>
        <w:jc w:val="center"/>
        <w:textAlignment w:val="center"/>
        <w:rPr>
          <w:rFonts w:hint="default" w:ascii="仿宋" w:hAnsi="仿宋" w:eastAsia="仿宋" w:cs="仿宋"/>
          <w:b/>
          <w:bCs/>
          <w:i w:val="0"/>
          <w:color w:val="FF0000"/>
          <w:kern w:val="0"/>
          <w:sz w:val="21"/>
          <w:szCs w:val="21"/>
          <w:u w:val="none"/>
          <w:lang w:val="en-US" w:eastAsia="zh-CN" w:bidi="ar"/>
        </w:rPr>
      </w:pPr>
      <w:r>
        <w:rPr>
          <w:rFonts w:hint="eastAsia" w:ascii="仿宋" w:hAnsi="仿宋" w:eastAsia="仿宋" w:cs="仿宋"/>
          <w:b/>
          <w:bCs/>
          <w:i w:val="0"/>
          <w:color w:val="000000"/>
          <w:kern w:val="0"/>
          <w:sz w:val="21"/>
          <w:szCs w:val="21"/>
          <w:u w:val="none"/>
          <w:lang w:val="en-US" w:eastAsia="zh-CN" w:bidi="ar"/>
        </w:rPr>
        <w:t>发布时间：</w:t>
      </w:r>
      <w:r>
        <w:rPr>
          <w:rFonts w:hint="eastAsia" w:ascii="仿宋" w:hAnsi="仿宋" w:eastAsia="仿宋" w:cs="仿宋"/>
          <w:b/>
          <w:bCs/>
          <w:i w:val="0"/>
          <w:color w:val="auto"/>
          <w:kern w:val="0"/>
          <w:sz w:val="21"/>
          <w:szCs w:val="21"/>
          <w:u w:val="none"/>
          <w:lang w:val="en-US" w:eastAsia="zh-CN" w:bidi="ar"/>
        </w:rPr>
        <w:t>2023年4月14日12时</w:t>
      </w:r>
    </w:p>
    <w:p>
      <w:pPr>
        <w:keepNext w:val="0"/>
        <w:keepLines w:val="0"/>
        <w:widowControl/>
        <w:numPr>
          <w:ilvl w:val="0"/>
          <w:numId w:val="0"/>
        </w:numPr>
        <w:suppressLineNumbers w:val="0"/>
        <w:spacing w:line="360" w:lineRule="auto"/>
        <w:ind w:firstLine="480" w:firstLineChars="200"/>
        <w:jc w:val="left"/>
        <w:textAlignment w:val="center"/>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山东国际会展集团有限公司根据实际情况和经营管理需要，对西馆气体灭火系统主机联网项目服务商进行询价，现诚邀资质合格的单位参加报价，请按项目列表所列明细给出相应报价。</w:t>
      </w:r>
    </w:p>
    <w:p>
      <w:pPr>
        <w:keepNext w:val="0"/>
        <w:keepLines w:val="0"/>
        <w:widowControl/>
        <w:numPr>
          <w:ilvl w:val="0"/>
          <w:numId w:val="0"/>
        </w:numPr>
        <w:suppressLineNumbers w:val="0"/>
        <w:spacing w:line="360" w:lineRule="auto"/>
        <w:ind w:firstLine="482"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b/>
          <w:bCs/>
          <w:i w:val="0"/>
          <w:color w:val="000000"/>
          <w:kern w:val="0"/>
          <w:sz w:val="24"/>
          <w:szCs w:val="24"/>
          <w:u w:val="none"/>
          <w:lang w:val="en-US" w:eastAsia="zh-CN" w:bidi="ar"/>
        </w:rPr>
        <w:t>注：以下内容请认真阅览！</w:t>
      </w:r>
    </w:p>
    <w:p>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项目要素</w:t>
      </w:r>
    </w:p>
    <w:p>
      <w:pPr>
        <w:keepNext w:val="0"/>
        <w:keepLines w:val="0"/>
        <w:widowControl/>
        <w:numPr>
          <w:ilvl w:val="0"/>
          <w:numId w:val="2"/>
        </w:numPr>
        <w:suppressLineNumbers w:val="0"/>
        <w:spacing w:line="360" w:lineRule="auto"/>
        <w:ind w:firstLine="480" w:firstLineChars="200"/>
        <w:jc w:val="left"/>
        <w:textAlignment w:val="center"/>
        <w:rPr>
          <w:rFonts w:hint="default"/>
          <w:color w:val="auto"/>
          <w:lang w:val="en-US" w:eastAsia="zh-CN"/>
        </w:rPr>
      </w:pPr>
      <w:r>
        <w:rPr>
          <w:rFonts w:hint="eastAsia" w:ascii="仿宋" w:hAnsi="仿宋" w:eastAsia="仿宋" w:cs="仿宋"/>
          <w:b w:val="0"/>
          <w:bCs w:val="0"/>
          <w:i w:val="0"/>
          <w:color w:val="000000"/>
          <w:kern w:val="0"/>
          <w:sz w:val="24"/>
          <w:szCs w:val="24"/>
          <w:u w:val="none"/>
          <w:lang w:val="en-US" w:eastAsia="zh-CN" w:bidi="ar"/>
        </w:rPr>
        <w:t>项目内容：西馆配电室气体灭火系统主机联网</w:t>
      </w:r>
      <w:r>
        <w:rPr>
          <w:rFonts w:hint="eastAsia" w:ascii="仿宋" w:hAnsi="仿宋" w:eastAsia="仿宋" w:cs="仿宋"/>
          <w:b w:val="0"/>
          <w:bCs w:val="0"/>
          <w:i w:val="0"/>
          <w:color w:val="auto"/>
          <w:kern w:val="0"/>
          <w:sz w:val="24"/>
          <w:szCs w:val="24"/>
          <w:u w:val="none"/>
          <w:lang w:val="en-US" w:eastAsia="zh-CN" w:bidi="ar"/>
        </w:rPr>
        <w:t>。</w:t>
      </w:r>
    </w:p>
    <w:p>
      <w:pPr>
        <w:pStyle w:val="6"/>
        <w:numPr>
          <w:ilvl w:val="0"/>
          <w:numId w:val="2"/>
        </w:numPr>
        <w:ind w:left="0" w:leftChars="0" w:firstLine="480" w:firstLineChars="200"/>
        <w:rPr>
          <w:rFonts w:hint="eastAsia"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项目控价：30000元（含税）。</w:t>
      </w:r>
    </w:p>
    <w:p>
      <w:pPr>
        <w:pStyle w:val="6"/>
        <w:numPr>
          <w:ilvl w:val="0"/>
          <w:numId w:val="2"/>
        </w:numPr>
        <w:ind w:left="0" w:leftChars="0" w:firstLine="480" w:firstLineChars="200"/>
        <w:rPr>
          <w:rFonts w:hint="default" w:ascii="仿宋" w:hAnsi="仿宋" w:eastAsia="仿宋" w:cs="仿宋"/>
          <w:b w:val="0"/>
          <w:bCs w:val="0"/>
          <w:i w:val="0"/>
          <w:color w:val="000000"/>
          <w:kern w:val="0"/>
          <w:sz w:val="24"/>
          <w:szCs w:val="24"/>
          <w:u w:val="none"/>
          <w:lang w:val="en-US" w:eastAsia="zh-CN" w:bidi="ar"/>
        </w:rPr>
      </w:pPr>
      <w:r>
        <w:rPr>
          <w:rFonts w:hint="eastAsia" w:ascii="仿宋" w:hAnsi="仿宋" w:eastAsia="仿宋" w:cs="仿宋"/>
          <w:b w:val="0"/>
          <w:bCs w:val="0"/>
          <w:i w:val="0"/>
          <w:color w:val="000000"/>
          <w:kern w:val="0"/>
          <w:sz w:val="24"/>
          <w:szCs w:val="24"/>
          <w:u w:val="none"/>
          <w:lang w:val="en-US" w:eastAsia="zh-CN" w:bidi="ar"/>
        </w:rPr>
        <w:t>采购方式：综合评分。</w:t>
      </w:r>
    </w:p>
    <w:p>
      <w:pPr>
        <w:keepNext w:val="0"/>
        <w:keepLines w:val="0"/>
        <w:widowControl/>
        <w:numPr>
          <w:ilvl w:val="0"/>
          <w:numId w:val="1"/>
        </w:numPr>
        <w:suppressLineNumbers w:val="0"/>
        <w:spacing w:line="360" w:lineRule="auto"/>
        <w:ind w:left="0" w:leftChars="0" w:firstLine="562" w:firstLineChars="2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参与报价企业资质要求</w:t>
      </w:r>
    </w:p>
    <w:p>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auto"/>
          <w:kern w:val="0"/>
          <w:sz w:val="24"/>
          <w:szCs w:val="24"/>
          <w:u w:val="none"/>
          <w:lang w:val="en-US" w:eastAsia="zh-CN" w:bidi="ar"/>
        </w:rPr>
      </w:pPr>
      <w:r>
        <w:rPr>
          <w:rFonts w:hint="default" w:ascii="仿宋" w:hAnsi="仿宋" w:eastAsia="仿宋" w:cs="仿宋"/>
          <w:b w:val="0"/>
          <w:bCs w:val="0"/>
          <w:i w:val="0"/>
          <w:color w:val="auto"/>
          <w:kern w:val="0"/>
          <w:sz w:val="24"/>
          <w:szCs w:val="24"/>
          <w:u w:val="none"/>
          <w:lang w:val="en-US" w:eastAsia="zh-CN" w:bidi="ar"/>
        </w:rPr>
        <w:t>参与本次项目的</w:t>
      </w:r>
      <w:r>
        <w:rPr>
          <w:rFonts w:hint="eastAsia" w:ascii="仿宋" w:hAnsi="仿宋" w:eastAsia="仿宋" w:cs="仿宋"/>
          <w:b w:val="0"/>
          <w:bCs w:val="0"/>
          <w:i w:val="0"/>
          <w:color w:val="auto"/>
          <w:kern w:val="0"/>
          <w:sz w:val="24"/>
          <w:szCs w:val="24"/>
          <w:u w:val="none"/>
          <w:lang w:val="en-US" w:eastAsia="zh-CN" w:bidi="ar"/>
        </w:rPr>
        <w:t>企业</w:t>
      </w:r>
      <w:r>
        <w:rPr>
          <w:rFonts w:hint="default" w:ascii="仿宋" w:hAnsi="仿宋" w:eastAsia="仿宋" w:cs="仿宋"/>
          <w:b w:val="0"/>
          <w:bCs w:val="0"/>
          <w:i w:val="0"/>
          <w:color w:val="auto"/>
          <w:kern w:val="0"/>
          <w:sz w:val="24"/>
          <w:szCs w:val="24"/>
          <w:u w:val="none"/>
          <w:lang w:val="en-US" w:eastAsia="zh-CN" w:bidi="ar"/>
        </w:rPr>
        <w:t>单位</w:t>
      </w:r>
      <w:r>
        <w:rPr>
          <w:rFonts w:hint="eastAsia" w:ascii="仿宋" w:hAnsi="仿宋" w:eastAsia="仿宋" w:cs="仿宋"/>
          <w:b w:val="0"/>
          <w:bCs w:val="0"/>
          <w:i w:val="0"/>
          <w:color w:val="auto"/>
          <w:kern w:val="0"/>
          <w:sz w:val="24"/>
          <w:szCs w:val="24"/>
          <w:u w:val="none"/>
          <w:lang w:val="en-US" w:eastAsia="zh-CN" w:bidi="ar"/>
        </w:rPr>
        <w:t>（包含个体户）必须是在中华人民共和国境内注册；具有消防设施工程专业承包资质；</w:t>
      </w:r>
    </w:p>
    <w:p>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auto"/>
          <w:kern w:val="0"/>
          <w:sz w:val="24"/>
          <w:szCs w:val="24"/>
          <w:u w:val="none"/>
          <w:lang w:val="en-US" w:eastAsia="zh-CN" w:bidi="ar"/>
        </w:rPr>
        <w:t>参与本次项目的</w:t>
      </w:r>
      <w:r>
        <w:rPr>
          <w:rFonts w:hint="eastAsia" w:ascii="仿宋" w:hAnsi="仿宋" w:eastAsia="仿宋" w:cs="仿宋"/>
          <w:b w:val="0"/>
          <w:bCs w:val="0"/>
          <w:i w:val="0"/>
          <w:color w:val="auto"/>
          <w:kern w:val="0"/>
          <w:sz w:val="24"/>
          <w:szCs w:val="24"/>
          <w:u w:val="none"/>
          <w:lang w:val="en-US" w:eastAsia="zh-CN" w:bidi="ar"/>
        </w:rPr>
        <w:t>企业</w:t>
      </w:r>
      <w:r>
        <w:rPr>
          <w:rFonts w:hint="default" w:ascii="仿宋" w:hAnsi="仿宋" w:eastAsia="仿宋" w:cs="仿宋"/>
          <w:b w:val="0"/>
          <w:bCs w:val="0"/>
          <w:i w:val="0"/>
          <w:color w:val="auto"/>
          <w:kern w:val="0"/>
          <w:sz w:val="24"/>
          <w:szCs w:val="24"/>
          <w:u w:val="none"/>
          <w:lang w:val="en-US" w:eastAsia="zh-CN" w:bidi="ar"/>
        </w:rPr>
        <w:t>单位具有良好的企业信用，以国家企业信用信息</w:t>
      </w:r>
      <w:r>
        <w:rPr>
          <w:rFonts w:hint="default" w:ascii="仿宋" w:hAnsi="仿宋" w:eastAsia="仿宋" w:cs="仿宋"/>
          <w:b w:val="0"/>
          <w:bCs w:val="0"/>
          <w:i w:val="0"/>
          <w:color w:val="000000"/>
          <w:kern w:val="0"/>
          <w:sz w:val="24"/>
          <w:szCs w:val="24"/>
          <w:u w:val="none"/>
          <w:lang w:val="en-US" w:eastAsia="zh-CN" w:bidi="ar"/>
        </w:rPr>
        <w:t>公示系统查询结果为</w:t>
      </w:r>
      <w:r>
        <w:rPr>
          <w:rFonts w:hint="eastAsia" w:ascii="仿宋" w:hAnsi="仿宋" w:eastAsia="仿宋" w:cs="仿宋"/>
          <w:b w:val="0"/>
          <w:bCs w:val="0"/>
          <w:i w:val="0"/>
          <w:color w:val="000000"/>
          <w:kern w:val="0"/>
          <w:sz w:val="24"/>
          <w:szCs w:val="24"/>
          <w:u w:val="none"/>
          <w:lang w:val="en-US" w:eastAsia="zh-CN" w:bidi="ar"/>
        </w:rPr>
        <w:t>准</w:t>
      </w:r>
      <w:r>
        <w:rPr>
          <w:rFonts w:hint="default" w:ascii="仿宋" w:hAnsi="仿宋" w:eastAsia="仿宋" w:cs="仿宋"/>
          <w:b w:val="0"/>
          <w:bCs w:val="0"/>
          <w:i w:val="0"/>
          <w:color w:val="000000"/>
          <w:kern w:val="0"/>
          <w:sz w:val="24"/>
          <w:szCs w:val="24"/>
          <w:u w:val="none"/>
          <w:lang w:val="en-US" w:eastAsia="zh-CN" w:bidi="ar"/>
        </w:rPr>
        <w:t>，查询网址：http：//www.gsxt.gov.cn/；</w:t>
      </w:r>
    </w:p>
    <w:p>
      <w:pPr>
        <w:keepNext w:val="0"/>
        <w:keepLines w:val="0"/>
        <w:widowControl/>
        <w:numPr>
          <w:ilvl w:val="0"/>
          <w:numId w:val="3"/>
        </w:numPr>
        <w:suppressLineNumbers w:val="0"/>
        <w:spacing w:line="360" w:lineRule="auto"/>
        <w:ind w:left="0" w:leftChars="0" w:firstLine="480" w:firstLineChars="200"/>
        <w:jc w:val="left"/>
        <w:textAlignment w:val="center"/>
        <w:rPr>
          <w:rFonts w:hint="default" w:ascii="仿宋" w:hAnsi="仿宋" w:eastAsia="仿宋" w:cs="仿宋"/>
          <w:b w:val="0"/>
          <w:bCs w:val="0"/>
          <w:i w:val="0"/>
          <w:color w:val="000000"/>
          <w:kern w:val="0"/>
          <w:sz w:val="24"/>
          <w:szCs w:val="24"/>
          <w:u w:val="none"/>
          <w:lang w:val="en-US" w:eastAsia="zh-CN" w:bidi="ar"/>
        </w:rPr>
      </w:pPr>
      <w:r>
        <w:rPr>
          <w:rFonts w:hint="default" w:ascii="仿宋" w:hAnsi="仿宋" w:eastAsia="仿宋" w:cs="仿宋"/>
          <w:b w:val="0"/>
          <w:bCs w:val="0"/>
          <w:i w:val="0"/>
          <w:color w:val="000000"/>
          <w:kern w:val="0"/>
          <w:sz w:val="24"/>
          <w:szCs w:val="24"/>
          <w:u w:val="none"/>
          <w:lang w:val="en-US" w:eastAsia="zh-CN" w:bidi="ar"/>
        </w:rPr>
        <w:t>参与本次项目的企业单位的法定代表人、高管或股东不得与会展集团及会展集团股东单位职工存在关联关系，不得存在由同一自然人同时担任投标单位两家或两家以上的法定代表人、高管或股东，且本项目参与单位之间不得存在关联关系</w:t>
      </w:r>
      <w:r>
        <w:rPr>
          <w:rFonts w:hint="eastAsia" w:ascii="仿宋" w:hAnsi="仿宋" w:eastAsia="仿宋" w:cs="仿宋"/>
          <w:b w:val="0"/>
          <w:bCs w:val="0"/>
          <w:i w:val="0"/>
          <w:color w:val="000000"/>
          <w:kern w:val="0"/>
          <w:sz w:val="24"/>
          <w:szCs w:val="24"/>
          <w:u w:val="none"/>
          <w:lang w:val="en-US" w:eastAsia="zh-CN" w:bidi="ar"/>
        </w:rPr>
        <w:t>。</w:t>
      </w:r>
    </w:p>
    <w:p>
      <w:pPr>
        <w:pStyle w:val="6"/>
        <w:ind w:left="0" w:leftChars="0" w:firstLine="480" w:firstLineChars="200"/>
        <w:rPr>
          <w:rFonts w:hint="default"/>
          <w:lang w:val="en-US" w:eastAsia="zh-CN"/>
        </w:rPr>
      </w:pPr>
      <w:r>
        <w:rPr>
          <w:rFonts w:hint="eastAsia" w:ascii="仿宋" w:hAnsi="仿宋" w:eastAsia="仿宋" w:cs="仿宋"/>
          <w:b w:val="0"/>
          <w:bCs w:val="0"/>
          <w:i w:val="0"/>
          <w:color w:val="000000"/>
          <w:kern w:val="0"/>
          <w:sz w:val="24"/>
          <w:szCs w:val="24"/>
          <w:u w:val="none"/>
          <w:lang w:val="en-US" w:eastAsia="zh-CN" w:bidi="ar"/>
        </w:rPr>
        <w:t>（四）本项目不接受联合体投标。</w:t>
      </w:r>
    </w:p>
    <w:p>
      <w:pPr>
        <w:keepNext w:val="0"/>
        <w:keepLines w:val="0"/>
        <w:widowControl/>
        <w:numPr>
          <w:ilvl w:val="0"/>
          <w:numId w:val="0"/>
        </w:numPr>
        <w:suppressLineNumbers w:val="0"/>
        <w:spacing w:line="360" w:lineRule="auto"/>
        <w:ind w:leftChars="200" w:firstLine="281" w:firstLineChars="100"/>
        <w:jc w:val="left"/>
        <w:textAlignment w:val="center"/>
        <w:rPr>
          <w:rFonts w:hint="eastAsia" w:ascii="楷体" w:hAnsi="楷体" w:eastAsia="楷体" w:cs="楷体"/>
          <w:b/>
          <w:bCs/>
          <w:i w:val="0"/>
          <w:color w:val="000000"/>
          <w:kern w:val="0"/>
          <w:sz w:val="28"/>
          <w:szCs w:val="28"/>
          <w:u w:val="none"/>
          <w:lang w:val="en-US" w:eastAsia="zh-CN" w:bidi="ar"/>
        </w:rPr>
      </w:pPr>
      <w:r>
        <w:rPr>
          <w:rFonts w:hint="eastAsia" w:ascii="楷体" w:hAnsi="楷体" w:eastAsia="楷体" w:cs="楷体"/>
          <w:b/>
          <w:bCs/>
          <w:i w:val="0"/>
          <w:color w:val="000000"/>
          <w:kern w:val="0"/>
          <w:sz w:val="28"/>
          <w:szCs w:val="28"/>
          <w:u w:val="none"/>
          <w:lang w:val="en-US" w:eastAsia="zh-CN" w:bidi="ar"/>
        </w:rPr>
        <w:t>三、招募要求及回传方式</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（一）招募要求</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1、按项目询价单准确填报，报价为含税价。</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2、明确货品规格型号，</w:t>
      </w:r>
      <w:r>
        <w:rPr>
          <w:rFonts w:hint="eastAsia" w:ascii="仿宋" w:hAnsi="仿宋" w:eastAsia="仿宋" w:cs="仿宋"/>
          <w:b/>
          <w:bCs/>
          <w:i w:val="0"/>
          <w:color w:val="000000"/>
          <w:kern w:val="0"/>
          <w:sz w:val="24"/>
          <w:szCs w:val="24"/>
          <w:u w:val="none"/>
          <w:lang w:val="en-US" w:eastAsia="zh-CN" w:bidi="ar"/>
        </w:rPr>
        <w:t>有规格要求注明的请严格按提供规格报价</w:t>
      </w:r>
      <w:r>
        <w:rPr>
          <w:rFonts w:hint="eastAsia" w:ascii="仿宋" w:hAnsi="仿宋" w:eastAsia="仿宋" w:cs="仿宋"/>
          <w:i w:val="0"/>
          <w:color w:val="000000"/>
          <w:kern w:val="0"/>
          <w:sz w:val="24"/>
          <w:szCs w:val="24"/>
          <w:u w:val="none"/>
          <w:lang w:val="en-US" w:eastAsia="zh-CN" w:bidi="ar"/>
        </w:rPr>
        <w:t>。</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3、相关材料请详细</w:t>
      </w:r>
      <w:r>
        <w:rPr>
          <w:rFonts w:hint="eastAsia" w:ascii="仿宋" w:hAnsi="仿宋" w:eastAsia="仿宋" w:cs="仿宋"/>
          <w:b/>
          <w:bCs/>
          <w:i w:val="0"/>
          <w:color w:val="000000"/>
          <w:kern w:val="0"/>
          <w:sz w:val="24"/>
          <w:szCs w:val="24"/>
          <w:u w:val="none"/>
          <w:lang w:val="en-US" w:eastAsia="zh-CN" w:bidi="ar"/>
        </w:rPr>
        <w:t>注明报价时间、项目负责人及其联系方式并盖公章</w:t>
      </w:r>
      <w:r>
        <w:rPr>
          <w:rFonts w:hint="eastAsia" w:ascii="仿宋" w:hAnsi="仿宋" w:eastAsia="仿宋" w:cs="仿宋"/>
          <w:i w:val="0"/>
          <w:color w:val="000000"/>
          <w:kern w:val="0"/>
          <w:sz w:val="24"/>
          <w:szCs w:val="24"/>
          <w:u w:val="none"/>
          <w:lang w:val="en-US" w:eastAsia="zh-CN" w:bidi="ar"/>
        </w:rPr>
        <w:t>。</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line="500" w:lineRule="exact"/>
        <w:ind w:firstLine="480" w:firstLineChars="200"/>
        <w:jc w:val="left"/>
        <w:textAlignment w:val="center"/>
        <w:rPr>
          <w:rFonts w:hint="default"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4、</w:t>
      </w:r>
      <w:r>
        <w:rPr>
          <w:rFonts w:hint="default" w:ascii="仿宋" w:hAnsi="仿宋" w:eastAsia="仿宋" w:cs="仿宋"/>
          <w:b w:val="0"/>
          <w:bCs w:val="0"/>
          <w:i w:val="0"/>
          <w:color w:val="000000"/>
          <w:kern w:val="0"/>
          <w:sz w:val="24"/>
          <w:szCs w:val="24"/>
          <w:u w:val="none"/>
          <w:lang w:val="en-US" w:eastAsia="zh-CN" w:bidi="ar"/>
        </w:rPr>
        <w:t>参与本次项目的</w:t>
      </w:r>
      <w:r>
        <w:rPr>
          <w:rFonts w:hint="eastAsia" w:ascii="仿宋" w:hAnsi="仿宋" w:eastAsia="仿宋" w:cs="仿宋"/>
          <w:b w:val="0"/>
          <w:bCs w:val="0"/>
          <w:i w:val="0"/>
          <w:color w:val="000000"/>
          <w:kern w:val="0"/>
          <w:sz w:val="24"/>
          <w:szCs w:val="24"/>
          <w:u w:val="none"/>
          <w:lang w:val="en-US" w:eastAsia="zh-CN" w:bidi="ar"/>
        </w:rPr>
        <w:t>企业</w:t>
      </w:r>
      <w:r>
        <w:rPr>
          <w:rFonts w:hint="default" w:ascii="仿宋" w:hAnsi="仿宋" w:eastAsia="仿宋" w:cs="仿宋"/>
          <w:b w:val="0"/>
          <w:bCs w:val="0"/>
          <w:i w:val="0"/>
          <w:color w:val="000000"/>
          <w:kern w:val="0"/>
          <w:sz w:val="24"/>
          <w:szCs w:val="24"/>
          <w:u w:val="none"/>
          <w:lang w:val="en-US" w:eastAsia="zh-CN" w:bidi="ar"/>
        </w:rPr>
        <w:t>单位</w:t>
      </w:r>
      <w:r>
        <w:rPr>
          <w:rFonts w:hint="eastAsia" w:ascii="仿宋" w:hAnsi="仿宋" w:eastAsia="仿宋" w:cs="仿宋"/>
          <w:b w:val="0"/>
          <w:bCs w:val="0"/>
          <w:i w:val="0"/>
          <w:color w:val="000000"/>
          <w:kern w:val="0"/>
          <w:sz w:val="24"/>
          <w:szCs w:val="24"/>
          <w:u w:val="none"/>
          <w:lang w:val="en-US" w:eastAsia="zh-CN" w:bidi="ar"/>
        </w:rPr>
        <w:t>需具备与本项目有关的各项资质证明（复印件盖公章）。</w:t>
      </w:r>
    </w:p>
    <w:p>
      <w:pPr>
        <w:keepNext w:val="0"/>
        <w:keepLines w:val="0"/>
        <w:widowControl/>
        <w:suppressLineNumbers w:val="0"/>
        <w:spacing w:line="360" w:lineRule="auto"/>
        <w:ind w:firstLine="480" w:firstLineChars="200"/>
        <w:jc w:val="left"/>
        <w:textAlignment w:val="center"/>
        <w:rPr>
          <w:rFonts w:hint="eastAsia" w:ascii="仿宋" w:hAnsi="仿宋" w:eastAsia="仿宋" w:cs="仿宋"/>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（二）回传方式</w:t>
      </w:r>
    </w:p>
    <w:p>
      <w:pPr>
        <w:keepNext w:val="0"/>
        <w:keepLines w:val="0"/>
        <w:widowControl/>
        <w:suppressLineNumbers w:val="0"/>
        <w:spacing w:line="360" w:lineRule="auto"/>
        <w:ind w:firstLine="480" w:firstLineChars="200"/>
        <w:jc w:val="left"/>
        <w:textAlignment w:val="center"/>
        <w:rPr>
          <w:rFonts w:hint="default" w:ascii="仿宋" w:hAnsi="仿宋" w:eastAsia="仿宋" w:cs="仿宋"/>
          <w:b/>
          <w:bCs/>
          <w:i w:val="0"/>
          <w:color w:val="000000"/>
          <w:kern w:val="0"/>
          <w:sz w:val="24"/>
          <w:szCs w:val="24"/>
          <w:u w:val="none"/>
          <w:lang w:val="en-US" w:eastAsia="zh-CN" w:bidi="ar"/>
        </w:rPr>
      </w:pPr>
      <w:r>
        <w:rPr>
          <w:rFonts w:hint="eastAsia" w:ascii="仿宋" w:hAnsi="仿宋" w:eastAsia="仿宋" w:cs="仿宋"/>
          <w:i w:val="0"/>
          <w:color w:val="000000"/>
          <w:kern w:val="0"/>
          <w:sz w:val="24"/>
          <w:szCs w:val="24"/>
          <w:u w:val="none"/>
          <w:lang w:val="en-US" w:eastAsia="zh-CN" w:bidi="ar"/>
        </w:rPr>
        <w:t>参与报价单位请在接收询价单后3天内（4</w:t>
      </w:r>
      <w:r>
        <w:rPr>
          <w:rFonts w:hint="eastAsia" w:ascii="仿宋" w:hAnsi="仿宋" w:eastAsia="仿宋" w:cs="仿宋"/>
          <w:b/>
          <w:bCs/>
          <w:i w:val="0"/>
          <w:color w:val="auto"/>
          <w:kern w:val="0"/>
          <w:sz w:val="24"/>
          <w:szCs w:val="24"/>
          <w:u w:val="none"/>
          <w:lang w:val="en-US" w:eastAsia="zh-CN" w:bidi="ar"/>
        </w:rPr>
        <w:t>月17日16时截止</w:t>
      </w:r>
      <w:r>
        <w:rPr>
          <w:rFonts w:hint="eastAsia" w:ascii="仿宋" w:hAnsi="仿宋" w:eastAsia="仿宋" w:cs="仿宋"/>
          <w:i w:val="0"/>
          <w:color w:val="000000"/>
          <w:kern w:val="0"/>
          <w:sz w:val="24"/>
          <w:szCs w:val="24"/>
          <w:u w:val="none"/>
          <w:lang w:val="en-US" w:eastAsia="zh-CN" w:bidi="ar"/>
        </w:rPr>
        <w:t>）将报价单及其他附加材料（提供的所有材料需盖公章）</w:t>
      </w:r>
      <w:r>
        <w:rPr>
          <w:rFonts w:hint="eastAsia" w:ascii="仿宋" w:hAnsi="仿宋" w:eastAsia="仿宋" w:cs="仿宋"/>
          <w:b/>
          <w:bCs/>
          <w:i w:val="0"/>
          <w:color w:val="000000"/>
          <w:kern w:val="0"/>
          <w:sz w:val="24"/>
          <w:szCs w:val="24"/>
          <w:u w:val="none"/>
          <w:lang w:val="en-US" w:eastAsia="zh-CN" w:bidi="ar"/>
        </w:rPr>
        <w:t>邮寄至济南市槐荫区日照路一号山东国际会展中心</w:t>
      </w:r>
      <w:r>
        <w:rPr>
          <w:rFonts w:hint="eastAsia" w:ascii="仿宋" w:hAnsi="仿宋" w:eastAsia="仿宋" w:cs="仿宋"/>
          <w:i w:val="0"/>
          <w:color w:val="000000"/>
          <w:kern w:val="0"/>
          <w:sz w:val="24"/>
          <w:szCs w:val="24"/>
          <w:u w:val="none"/>
          <w:lang w:val="en-US" w:eastAsia="zh-CN" w:bidi="ar"/>
        </w:rPr>
        <w:t>，</w:t>
      </w:r>
      <w:r>
        <w:rPr>
          <w:rFonts w:hint="eastAsia" w:ascii="仿宋" w:hAnsi="仿宋" w:eastAsia="仿宋" w:cs="仿宋"/>
          <w:b/>
          <w:bCs/>
          <w:i w:val="0"/>
          <w:color w:val="000000"/>
          <w:kern w:val="0"/>
          <w:sz w:val="24"/>
          <w:szCs w:val="24"/>
          <w:u w:val="none"/>
          <w:lang w:val="en-US" w:eastAsia="zh-CN" w:bidi="ar"/>
        </w:rPr>
        <w:t>收件人：刘老师  电话17653112600 （注：1、快件外部请写明项目名称，例：西馆气体灭火系统主机联网项目。2、</w:t>
      </w:r>
      <w:r>
        <w:rPr>
          <w:rStyle w:val="10"/>
          <w:rFonts w:hint="eastAsia" w:ascii="仿宋" w:hAnsi="仿宋" w:eastAsia="仿宋" w:cs="仿宋"/>
          <w:b/>
          <w:bCs/>
          <w:i w:val="0"/>
          <w:caps w:val="0"/>
          <w:color w:val="212529"/>
          <w:spacing w:val="0"/>
          <w:sz w:val="24"/>
          <w:szCs w:val="24"/>
          <w:shd w:val="clear" w:fill="FFFFFF"/>
        </w:rPr>
        <w:t>报价文件外包装开封处请密封并加盖密封章、密封条</w:t>
      </w:r>
      <w:r>
        <w:rPr>
          <w:rStyle w:val="10"/>
          <w:rFonts w:hint="eastAsia" w:ascii="仿宋" w:hAnsi="仿宋" w:eastAsia="仿宋" w:cs="仿宋"/>
          <w:b/>
          <w:bCs/>
          <w:i w:val="0"/>
          <w:caps w:val="0"/>
          <w:color w:val="212529"/>
          <w:spacing w:val="0"/>
          <w:sz w:val="24"/>
          <w:szCs w:val="24"/>
          <w:shd w:val="clear" w:fill="FFFFFF"/>
          <w:lang w:eastAsia="zh-CN"/>
        </w:rPr>
        <w:t>。</w:t>
      </w:r>
      <w:r>
        <w:rPr>
          <w:rStyle w:val="10"/>
          <w:rFonts w:hint="eastAsia" w:ascii="仿宋" w:hAnsi="仿宋" w:eastAsia="仿宋" w:cs="仿宋"/>
          <w:b/>
          <w:bCs/>
          <w:i w:val="0"/>
          <w:caps w:val="0"/>
          <w:color w:val="212529"/>
          <w:spacing w:val="0"/>
          <w:sz w:val="24"/>
          <w:szCs w:val="24"/>
          <w:shd w:val="clear" w:fill="FFFFFF"/>
          <w:lang w:val="en-US" w:eastAsia="zh-CN"/>
        </w:rPr>
        <w:t>3</w:t>
      </w:r>
      <w:r>
        <w:rPr>
          <w:rFonts w:hint="eastAsia" w:ascii="仿宋" w:hAnsi="仿宋" w:eastAsia="仿宋" w:cs="仿宋"/>
          <w:b/>
          <w:bCs/>
          <w:i w:val="0"/>
          <w:color w:val="000000"/>
          <w:kern w:val="0"/>
          <w:sz w:val="24"/>
          <w:szCs w:val="24"/>
          <w:u w:val="none"/>
          <w:lang w:val="en-US" w:eastAsia="zh-CN" w:bidi="ar"/>
        </w:rPr>
        <w:t>、参与本项目单位请一并将项目联系人联系方式及营业执照发送至邮箱：</w:t>
      </w:r>
      <w:r>
        <w:rPr>
          <w:rStyle w:val="11"/>
          <w:rFonts w:hint="eastAsia" w:ascii="仿宋" w:hAnsi="仿宋" w:eastAsia="仿宋" w:cs="仿宋"/>
          <w:b/>
          <w:bCs/>
          <w:i w:val="0"/>
          <w:color w:val="000000"/>
          <w:kern w:val="0"/>
          <w:sz w:val="24"/>
          <w:szCs w:val="24"/>
          <w:u w:val="none"/>
          <w:lang w:val="en-US" w:eastAsia="zh-CN" w:bidi="ar"/>
        </w:rPr>
        <w:t>sdgjhzzbcg@163.com以便于统计投标单位数量，邮箱主题名称格式：公司名称+项目名称</w:t>
      </w:r>
      <w:r>
        <w:rPr>
          <w:rFonts w:hint="eastAsia" w:ascii="仿宋" w:hAnsi="仿宋" w:eastAsia="仿宋" w:cs="仿宋"/>
          <w:b/>
          <w:bCs/>
          <w:i w:val="0"/>
          <w:color w:val="000000"/>
          <w:kern w:val="0"/>
          <w:sz w:val="24"/>
          <w:szCs w:val="24"/>
          <w:u w:val="none"/>
          <w:lang w:val="en-US" w:eastAsia="zh-CN" w:bidi="ar"/>
        </w:rPr>
        <w:t>）</w:t>
      </w:r>
    </w:p>
    <w:p>
      <w:pPr>
        <w:pStyle w:val="6"/>
        <w:ind w:left="0" w:leftChars="0" w:firstLine="480" w:firstLineChars="200"/>
        <w:rPr>
          <w:rFonts w:hint="eastAsia" w:ascii="仿宋" w:hAnsi="仿宋" w:eastAsia="仿宋" w:cs="仿宋"/>
          <w:sz w:val="24"/>
          <w:szCs w:val="32"/>
          <w:lang w:val="en-US" w:eastAsia="zh-CN"/>
        </w:rPr>
      </w:pPr>
      <w:r>
        <w:rPr>
          <w:rFonts w:hint="eastAsia" w:ascii="仿宋" w:hAnsi="仿宋" w:eastAsia="仿宋" w:cs="仿宋"/>
          <w:sz w:val="24"/>
          <w:szCs w:val="32"/>
          <w:lang w:val="en-US" w:eastAsia="zh-CN"/>
        </w:rPr>
        <w:t>如有疑问请联系，项目技术咨询：</w:t>
      </w:r>
      <w:r>
        <w:rPr>
          <w:rFonts w:hint="eastAsia" w:ascii="仿宋" w:hAnsi="仿宋" w:eastAsia="仿宋" w:cs="仿宋"/>
          <w:color w:val="auto"/>
          <w:sz w:val="24"/>
          <w:szCs w:val="32"/>
          <w:lang w:val="en-US" w:eastAsia="zh-CN"/>
        </w:rPr>
        <w:t>0531-81255968</w:t>
      </w:r>
      <w:r>
        <w:rPr>
          <w:rFonts w:hint="eastAsia" w:ascii="仿宋" w:hAnsi="仿宋" w:eastAsia="仿宋" w:cs="仿宋"/>
          <w:sz w:val="24"/>
          <w:szCs w:val="32"/>
          <w:lang w:val="en-US" w:eastAsia="zh-CN"/>
        </w:rPr>
        <w:t>；项目流程咨询：0531-81255925。</w:t>
      </w:r>
    </w:p>
    <w:p>
      <w:pPr>
        <w:pStyle w:val="2"/>
        <w:rPr>
          <w:rFonts w:hint="default" w:ascii="楷体" w:hAnsi="楷体" w:eastAsia="楷体" w:cs="楷体"/>
          <w:b/>
          <w:bCs/>
          <w:sz w:val="28"/>
          <w:szCs w:val="36"/>
          <w:lang w:val="en-US" w:eastAsia="zh-CN"/>
        </w:rPr>
      </w:pPr>
      <w:r>
        <w:rPr>
          <w:rFonts w:hint="eastAsia" w:ascii="楷体" w:hAnsi="楷体" w:eastAsia="楷体" w:cs="楷体"/>
          <w:b/>
          <w:bCs/>
          <w:sz w:val="28"/>
          <w:szCs w:val="36"/>
          <w:lang w:val="en-US" w:eastAsia="zh-CN"/>
        </w:rPr>
        <w:t>四、项目清单</w:t>
      </w:r>
    </w:p>
    <w:p>
      <w:pPr>
        <w:rPr>
          <w:rFonts w:ascii="Arial"/>
          <w:sz w:val="21"/>
        </w:rPr>
      </w:pPr>
    </w:p>
    <w:tbl>
      <w:tblPr>
        <w:tblStyle w:val="7"/>
        <w:tblW w:w="8560" w:type="dxa"/>
        <w:tblInd w:w="93"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fixed"/>
        <w:tblCellMar>
          <w:top w:w="0" w:type="dxa"/>
          <w:left w:w="108" w:type="dxa"/>
          <w:bottom w:w="0" w:type="dxa"/>
          <w:right w:w="108" w:type="dxa"/>
        </w:tblCellMar>
      </w:tblPr>
      <w:tblGrid>
        <w:gridCol w:w="1227"/>
        <w:gridCol w:w="3533"/>
        <w:gridCol w:w="2133"/>
        <w:gridCol w:w="16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12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序号</w:t>
            </w:r>
          </w:p>
        </w:tc>
        <w:tc>
          <w:tcPr>
            <w:tcW w:w="35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名称</w:t>
            </w:r>
          </w:p>
        </w:tc>
        <w:tc>
          <w:tcPr>
            <w:tcW w:w="21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型号</w:t>
            </w:r>
          </w:p>
        </w:tc>
        <w:tc>
          <w:tcPr>
            <w:tcW w:w="1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数量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c>
          <w:tcPr>
            <w:tcW w:w="35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线缆</w:t>
            </w:r>
          </w:p>
        </w:tc>
        <w:tc>
          <w:tcPr>
            <w:tcW w:w="21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WDZN-RVS2*1.5</w:t>
            </w:r>
          </w:p>
        </w:tc>
        <w:tc>
          <w:tcPr>
            <w:tcW w:w="1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1600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w:t>
            </w:r>
          </w:p>
        </w:tc>
        <w:tc>
          <w:tcPr>
            <w:tcW w:w="35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联网模块</w:t>
            </w:r>
          </w:p>
        </w:tc>
        <w:tc>
          <w:tcPr>
            <w:tcW w:w="21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环网式CAN中继器</w:t>
            </w:r>
          </w:p>
        </w:tc>
        <w:tc>
          <w:tcPr>
            <w:tcW w:w="1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3</w:t>
            </w:r>
          </w:p>
        </w:tc>
        <w:tc>
          <w:tcPr>
            <w:tcW w:w="35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线管</w:t>
            </w:r>
          </w:p>
        </w:tc>
        <w:tc>
          <w:tcPr>
            <w:tcW w:w="21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JDG20</w:t>
            </w:r>
          </w:p>
        </w:tc>
        <w:tc>
          <w:tcPr>
            <w:tcW w:w="1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4</w:t>
            </w:r>
          </w:p>
        </w:tc>
        <w:tc>
          <w:tcPr>
            <w:tcW w:w="35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防火涂料</w:t>
            </w:r>
          </w:p>
        </w:tc>
        <w:tc>
          <w:tcPr>
            <w:tcW w:w="2133" w:type="dxa"/>
            <w:tcBorders>
              <w:tl2br w:val="nil"/>
              <w:tr2bl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20KG</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5</w:t>
            </w:r>
          </w:p>
        </w:tc>
        <w:tc>
          <w:tcPr>
            <w:tcW w:w="35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线盒</w:t>
            </w:r>
          </w:p>
        </w:tc>
        <w:tc>
          <w:tcPr>
            <w:tcW w:w="21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86H50</w:t>
            </w:r>
          </w:p>
        </w:tc>
        <w:tc>
          <w:tcPr>
            <w:tcW w:w="1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12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6</w:t>
            </w:r>
          </w:p>
        </w:tc>
        <w:tc>
          <w:tcPr>
            <w:tcW w:w="35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控制主机</w:t>
            </w:r>
          </w:p>
        </w:tc>
        <w:tc>
          <w:tcPr>
            <w:tcW w:w="21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JB-TB-JBF-11SF-C4</w:t>
            </w:r>
          </w:p>
        </w:tc>
        <w:tc>
          <w:tcPr>
            <w:tcW w:w="1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85" w:hRule="atLeast"/>
        </w:trPr>
        <w:tc>
          <w:tcPr>
            <w:tcW w:w="12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c>
          <w:tcPr>
            <w:tcW w:w="35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逻辑关系编程</w:t>
            </w:r>
          </w:p>
        </w:tc>
        <w:tc>
          <w:tcPr>
            <w:tcW w:w="21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1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12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8</w:t>
            </w:r>
          </w:p>
        </w:tc>
        <w:tc>
          <w:tcPr>
            <w:tcW w:w="35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单机调试费</w:t>
            </w:r>
          </w:p>
        </w:tc>
        <w:tc>
          <w:tcPr>
            <w:tcW w:w="21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1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12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9</w:t>
            </w:r>
          </w:p>
        </w:tc>
        <w:tc>
          <w:tcPr>
            <w:tcW w:w="35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联网调试费</w:t>
            </w:r>
          </w:p>
        </w:tc>
        <w:tc>
          <w:tcPr>
            <w:tcW w:w="2133" w:type="dxa"/>
            <w:tcBorders>
              <w:tl2br w:val="nil"/>
              <w:tr2bl w:val="nil"/>
            </w:tcBorders>
            <w:shd w:val="clear" w:color="auto" w:fill="auto"/>
            <w:noWrap/>
            <w:vAlign w:val="center"/>
          </w:tcPr>
          <w:p>
            <w:pPr>
              <w:keepNext w:val="0"/>
              <w:keepLines w:val="0"/>
              <w:widowControl/>
              <w:suppressLineNumbers w:val="0"/>
              <w:jc w:val="left"/>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系统</w:t>
            </w:r>
          </w:p>
        </w:tc>
        <w:tc>
          <w:tcPr>
            <w:tcW w:w="166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285" w:hRule="atLeast"/>
        </w:trPr>
        <w:tc>
          <w:tcPr>
            <w:tcW w:w="1227"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10</w:t>
            </w:r>
          </w:p>
        </w:tc>
        <w:tc>
          <w:tcPr>
            <w:tcW w:w="3533" w:type="dxa"/>
            <w:tcBorders>
              <w:tl2br w:val="nil"/>
              <w:tr2bl w:val="nil"/>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i w:val="0"/>
                <w:iCs w:val="0"/>
                <w:color w:val="000000"/>
                <w:sz w:val="24"/>
                <w:szCs w:val="24"/>
                <w:u w:val="none"/>
              </w:rPr>
            </w:pPr>
            <w:r>
              <w:rPr>
                <w:rFonts w:hint="eastAsia" w:ascii="宋体" w:hAnsi="宋体" w:eastAsia="宋体" w:cs="宋体"/>
                <w:i w:val="0"/>
                <w:iCs w:val="0"/>
                <w:color w:val="000000"/>
                <w:kern w:val="0"/>
                <w:sz w:val="24"/>
                <w:szCs w:val="24"/>
                <w:u w:val="none"/>
                <w:lang w:val="en-US" w:eastAsia="zh-CN" w:bidi="ar"/>
              </w:rPr>
              <w:t>税金</w:t>
            </w:r>
          </w:p>
        </w:tc>
        <w:tc>
          <w:tcPr>
            <w:tcW w:w="2133" w:type="dxa"/>
            <w:tcBorders>
              <w:tl2br w:val="nil"/>
              <w:tr2bl w:val="nil"/>
            </w:tcBorders>
            <w:shd w:val="clear" w:color="auto" w:fill="auto"/>
            <w:noWrap/>
            <w:vAlign w:val="center"/>
          </w:tcPr>
          <w:p>
            <w:pPr>
              <w:rPr>
                <w:rFonts w:hint="eastAsia" w:ascii="宋体" w:hAnsi="宋体" w:eastAsia="宋体" w:cs="宋体"/>
                <w:i w:val="0"/>
                <w:iCs w:val="0"/>
                <w:color w:val="000000"/>
                <w:sz w:val="24"/>
                <w:szCs w:val="24"/>
                <w:u w:val="none"/>
              </w:rPr>
            </w:pPr>
          </w:p>
        </w:tc>
        <w:tc>
          <w:tcPr>
            <w:tcW w:w="1667" w:type="dxa"/>
            <w:tcBorders>
              <w:tl2br w:val="nil"/>
              <w:tr2bl w:val="nil"/>
            </w:tcBorders>
            <w:shd w:val="clear" w:color="auto" w:fill="auto"/>
            <w:noWrap/>
            <w:vAlign w:val="center"/>
          </w:tcPr>
          <w:p>
            <w:pPr>
              <w:rPr>
                <w:rFonts w:hint="eastAsia" w:ascii="宋体" w:hAnsi="宋体" w:eastAsia="宋体" w:cs="宋体"/>
                <w:i w:val="0"/>
                <w:iCs w:val="0"/>
                <w:color w:val="000000"/>
                <w:sz w:val="24"/>
                <w:szCs w:val="24"/>
                <w:u w:val="none"/>
              </w:rPr>
            </w:pPr>
          </w:p>
        </w:tc>
      </w:tr>
    </w:tbl>
    <w:p>
      <w:pPr>
        <w:pStyle w:val="2"/>
      </w:pPr>
    </w:p>
    <w:p>
      <w:pPr>
        <w:pStyle w:val="2"/>
        <w:rPr>
          <w:rFonts w:hint="eastAsia" w:ascii="楷体" w:hAnsi="楷体" w:eastAsia="楷体" w:cs="楷体"/>
          <w:b/>
          <w:bCs/>
          <w:sz w:val="28"/>
          <w:szCs w:val="36"/>
          <w:lang w:val="en-US" w:eastAsia="zh-CN"/>
        </w:rPr>
      </w:pPr>
      <w:r>
        <w:rPr>
          <w:rFonts w:hint="eastAsia" w:ascii="楷体" w:hAnsi="楷体" w:eastAsia="楷体" w:cs="楷体"/>
          <w:b/>
          <w:bCs/>
          <w:sz w:val="28"/>
          <w:szCs w:val="36"/>
          <w:lang w:val="en-US" w:eastAsia="zh-CN"/>
        </w:rPr>
        <w:t>五、评分标准</w:t>
      </w:r>
      <w:bookmarkStart w:id="0" w:name="_GoBack"/>
      <w:bookmarkEnd w:id="0"/>
    </w:p>
    <w:tbl>
      <w:tblPr>
        <w:tblStyle w:val="7"/>
        <w:tblpPr w:leftFromText="180" w:rightFromText="180" w:vertAnchor="text" w:horzAnchor="page" w:tblpX="1173" w:tblpY="88"/>
        <w:tblOverlap w:val="never"/>
        <w:tblW w:w="10073"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656"/>
        <w:gridCol w:w="1183"/>
        <w:gridCol w:w="867"/>
        <w:gridCol w:w="736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656" w:type="dxa"/>
            <w:noWrap w:val="0"/>
            <w:vAlign w:val="center"/>
          </w:tcPr>
          <w:p>
            <w:pPr>
              <w:pStyle w:val="13"/>
              <w:spacing w:before="39"/>
              <w:jc w:val="center"/>
              <w:rPr>
                <w:b/>
                <w:sz w:val="24"/>
                <w:szCs w:val="24"/>
              </w:rPr>
            </w:pPr>
            <w:r>
              <w:rPr>
                <w:b/>
                <w:sz w:val="24"/>
                <w:szCs w:val="24"/>
              </w:rPr>
              <w:t>序号</w:t>
            </w:r>
          </w:p>
        </w:tc>
        <w:tc>
          <w:tcPr>
            <w:tcW w:w="1183" w:type="dxa"/>
            <w:noWrap w:val="0"/>
            <w:vAlign w:val="center"/>
          </w:tcPr>
          <w:p>
            <w:pPr>
              <w:pStyle w:val="13"/>
              <w:ind w:right="76"/>
              <w:jc w:val="center"/>
              <w:rPr>
                <w:b/>
                <w:sz w:val="24"/>
                <w:szCs w:val="24"/>
              </w:rPr>
            </w:pPr>
            <w:r>
              <w:rPr>
                <w:b/>
                <w:sz w:val="24"/>
                <w:szCs w:val="24"/>
              </w:rPr>
              <w:t>评分内容</w:t>
            </w:r>
          </w:p>
        </w:tc>
        <w:tc>
          <w:tcPr>
            <w:tcW w:w="867" w:type="dxa"/>
            <w:noWrap w:val="0"/>
            <w:vAlign w:val="center"/>
          </w:tcPr>
          <w:p>
            <w:pPr>
              <w:pStyle w:val="13"/>
              <w:jc w:val="center"/>
              <w:rPr>
                <w:b/>
                <w:sz w:val="24"/>
                <w:szCs w:val="24"/>
              </w:rPr>
            </w:pPr>
            <w:r>
              <w:rPr>
                <w:b/>
                <w:sz w:val="24"/>
                <w:szCs w:val="24"/>
              </w:rPr>
              <w:t>分值</w:t>
            </w:r>
          </w:p>
        </w:tc>
        <w:tc>
          <w:tcPr>
            <w:tcW w:w="7367" w:type="dxa"/>
            <w:noWrap w:val="0"/>
            <w:vAlign w:val="center"/>
          </w:tcPr>
          <w:p>
            <w:pPr>
              <w:pStyle w:val="13"/>
              <w:ind w:right="2485"/>
              <w:jc w:val="center"/>
              <w:rPr>
                <w:b/>
                <w:sz w:val="24"/>
                <w:szCs w:val="24"/>
              </w:rPr>
            </w:pPr>
            <w:r>
              <w:rPr>
                <w:b/>
                <w:sz w:val="24"/>
                <w:szCs w:val="24"/>
              </w:rPr>
              <w:t>评分标准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3" w:hRule="atLeast"/>
        </w:trPr>
        <w:tc>
          <w:tcPr>
            <w:tcW w:w="10073" w:type="dxa"/>
            <w:gridSpan w:val="4"/>
            <w:noWrap w:val="0"/>
            <w:vAlign w:val="center"/>
          </w:tcPr>
          <w:p>
            <w:pPr>
              <w:pStyle w:val="13"/>
              <w:spacing w:before="108"/>
              <w:ind w:left="3153" w:right="3139"/>
              <w:jc w:val="center"/>
              <w:rPr>
                <w:b/>
                <w:sz w:val="24"/>
                <w:szCs w:val="24"/>
              </w:rPr>
            </w:pPr>
            <w:r>
              <w:rPr>
                <w:b/>
                <w:sz w:val="24"/>
                <w:szCs w:val="24"/>
              </w:rPr>
              <w:t>价格评分（</w:t>
            </w:r>
            <w:r>
              <w:rPr>
                <w:rFonts w:hint="eastAsia"/>
                <w:b/>
                <w:sz w:val="24"/>
                <w:szCs w:val="24"/>
                <w:lang w:val="en-US" w:eastAsia="zh-CN"/>
              </w:rPr>
              <w:t>3</w:t>
            </w:r>
            <w:r>
              <w:rPr>
                <w:b/>
                <w:sz w:val="24"/>
                <w:szCs w:val="24"/>
              </w:rPr>
              <w:t>0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59" w:hRule="atLeast"/>
        </w:trPr>
        <w:tc>
          <w:tcPr>
            <w:tcW w:w="656" w:type="dxa"/>
            <w:noWrap w:val="0"/>
            <w:vAlign w:val="center"/>
          </w:tcPr>
          <w:p>
            <w:pPr>
              <w:pStyle w:val="13"/>
              <w:jc w:val="center"/>
              <w:rPr>
                <w:b w:val="0"/>
                <w:bCs/>
                <w:sz w:val="22"/>
              </w:rPr>
            </w:pPr>
            <w:r>
              <w:rPr>
                <w:b w:val="0"/>
                <w:bCs/>
                <w:sz w:val="22"/>
              </w:rPr>
              <w:t>1</w:t>
            </w:r>
          </w:p>
        </w:tc>
        <w:tc>
          <w:tcPr>
            <w:tcW w:w="1183" w:type="dxa"/>
            <w:noWrap w:val="0"/>
            <w:vAlign w:val="center"/>
          </w:tcPr>
          <w:p>
            <w:pPr>
              <w:pStyle w:val="13"/>
              <w:jc w:val="center"/>
              <w:rPr>
                <w:b w:val="0"/>
                <w:bCs/>
                <w:sz w:val="22"/>
              </w:rPr>
            </w:pPr>
            <w:r>
              <w:rPr>
                <w:b w:val="0"/>
                <w:bCs/>
                <w:sz w:val="22"/>
              </w:rPr>
              <w:t>价格部分</w:t>
            </w:r>
          </w:p>
        </w:tc>
        <w:tc>
          <w:tcPr>
            <w:tcW w:w="867" w:type="dxa"/>
            <w:noWrap w:val="0"/>
            <w:vAlign w:val="center"/>
          </w:tcPr>
          <w:p>
            <w:pPr>
              <w:pStyle w:val="13"/>
              <w:jc w:val="center"/>
              <w:rPr>
                <w:b w:val="0"/>
                <w:bCs/>
                <w:sz w:val="22"/>
              </w:rPr>
            </w:pPr>
            <w:r>
              <w:rPr>
                <w:rFonts w:hint="eastAsia"/>
                <w:b w:val="0"/>
                <w:bCs/>
                <w:sz w:val="22"/>
                <w:lang w:val="en-US" w:eastAsia="zh-CN"/>
              </w:rPr>
              <w:t>30</w:t>
            </w:r>
            <w:r>
              <w:rPr>
                <w:b w:val="0"/>
                <w:bCs/>
                <w:sz w:val="22"/>
              </w:rPr>
              <w:t xml:space="preserve"> 分</w:t>
            </w:r>
          </w:p>
        </w:tc>
        <w:tc>
          <w:tcPr>
            <w:tcW w:w="7367" w:type="dxa"/>
            <w:noWrap w:val="0"/>
            <w:vAlign w:val="center"/>
          </w:tcPr>
          <w:p>
            <w:pPr>
              <w:pStyle w:val="13"/>
              <w:jc w:val="left"/>
              <w:rPr>
                <w:b w:val="0"/>
                <w:bCs/>
                <w:sz w:val="22"/>
              </w:rPr>
            </w:pPr>
            <w:r>
              <w:rPr>
                <w:b w:val="0"/>
                <w:bCs/>
                <w:sz w:val="22"/>
              </w:rPr>
              <w:t>价格分计算方法：满足要求且</w:t>
            </w:r>
            <w:r>
              <w:rPr>
                <w:rFonts w:hint="eastAsia"/>
                <w:b w:val="0"/>
                <w:bCs/>
                <w:sz w:val="22"/>
                <w:lang w:val="en-US" w:eastAsia="zh-CN"/>
              </w:rPr>
              <w:t>报价</w:t>
            </w:r>
            <w:r>
              <w:rPr>
                <w:b w:val="0"/>
                <w:bCs/>
                <w:sz w:val="22"/>
              </w:rPr>
              <w:t>最低的为评标基准价，其价格分为</w:t>
            </w:r>
            <w:r>
              <w:rPr>
                <w:rFonts w:hint="eastAsia"/>
                <w:b w:val="0"/>
                <w:bCs/>
                <w:sz w:val="22"/>
                <w:lang w:val="en-US" w:eastAsia="zh-CN"/>
              </w:rPr>
              <w:t>30</w:t>
            </w:r>
            <w:r>
              <w:rPr>
                <w:b w:val="0"/>
                <w:bCs/>
                <w:sz w:val="22"/>
              </w:rPr>
              <w:t>分。其他投标人的价格分统一按照下列公式计算：投标报价得分=(评标基准价／投标报价)×价格权重（</w:t>
            </w:r>
            <w:r>
              <w:rPr>
                <w:rFonts w:hint="eastAsia"/>
                <w:b w:val="0"/>
                <w:bCs/>
                <w:sz w:val="22"/>
                <w:lang w:val="en-US" w:eastAsia="zh-CN"/>
              </w:rPr>
              <w:t>3</w:t>
            </w:r>
            <w:r>
              <w:rPr>
                <w:b w:val="0"/>
                <w:bCs/>
                <w:sz w:val="22"/>
              </w:rPr>
              <w:t>0%）×100。</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79" w:hRule="atLeast"/>
        </w:trPr>
        <w:tc>
          <w:tcPr>
            <w:tcW w:w="10073" w:type="dxa"/>
            <w:gridSpan w:val="4"/>
            <w:noWrap w:val="0"/>
            <w:vAlign w:val="center"/>
          </w:tcPr>
          <w:p>
            <w:pPr>
              <w:pStyle w:val="13"/>
              <w:jc w:val="center"/>
              <w:rPr>
                <w:b w:val="0"/>
                <w:bCs/>
                <w:sz w:val="22"/>
              </w:rPr>
            </w:pPr>
            <w:r>
              <w:rPr>
                <w:b/>
                <w:sz w:val="24"/>
                <w:szCs w:val="24"/>
              </w:rPr>
              <w:t>商务评分（</w:t>
            </w:r>
            <w:r>
              <w:rPr>
                <w:rFonts w:hint="eastAsia"/>
                <w:b/>
                <w:sz w:val="24"/>
                <w:szCs w:val="24"/>
                <w:lang w:val="en-US" w:eastAsia="zh-CN"/>
              </w:rPr>
              <w:t>10</w:t>
            </w:r>
            <w:r>
              <w:rPr>
                <w:b/>
                <w:sz w:val="24"/>
                <w:szCs w:val="24"/>
              </w:rPr>
              <w:t xml:space="preserve"> 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trPr>
        <w:tc>
          <w:tcPr>
            <w:tcW w:w="656" w:type="dxa"/>
            <w:noWrap w:val="0"/>
            <w:vAlign w:val="center"/>
          </w:tcPr>
          <w:p>
            <w:pPr>
              <w:pStyle w:val="13"/>
              <w:jc w:val="center"/>
              <w:rPr>
                <w:b w:val="0"/>
                <w:bCs/>
                <w:sz w:val="22"/>
              </w:rPr>
            </w:pPr>
            <w:r>
              <w:rPr>
                <w:b w:val="0"/>
                <w:bCs/>
                <w:sz w:val="22"/>
              </w:rPr>
              <w:t>1</w:t>
            </w:r>
          </w:p>
        </w:tc>
        <w:tc>
          <w:tcPr>
            <w:tcW w:w="1183" w:type="dxa"/>
            <w:noWrap w:val="0"/>
            <w:vAlign w:val="center"/>
          </w:tcPr>
          <w:p>
            <w:pPr>
              <w:pStyle w:val="13"/>
              <w:jc w:val="center"/>
              <w:rPr>
                <w:rFonts w:hint="default" w:eastAsia="宋体"/>
                <w:b w:val="0"/>
                <w:bCs/>
                <w:sz w:val="22"/>
                <w:lang w:val="en-US" w:eastAsia="zh-CN"/>
              </w:rPr>
            </w:pPr>
            <w:r>
              <w:rPr>
                <w:rFonts w:hint="eastAsia"/>
                <w:b w:val="0"/>
                <w:bCs/>
                <w:sz w:val="22"/>
                <w:lang w:val="en-US" w:eastAsia="zh-CN"/>
              </w:rPr>
              <w:t>企业认证</w:t>
            </w:r>
          </w:p>
        </w:tc>
        <w:tc>
          <w:tcPr>
            <w:tcW w:w="867" w:type="dxa"/>
            <w:noWrap w:val="0"/>
            <w:vAlign w:val="center"/>
          </w:tcPr>
          <w:p>
            <w:pPr>
              <w:pStyle w:val="13"/>
              <w:jc w:val="center"/>
              <w:rPr>
                <w:b w:val="0"/>
                <w:bCs/>
                <w:sz w:val="22"/>
              </w:rPr>
            </w:pPr>
            <w:r>
              <w:rPr>
                <w:rFonts w:hint="eastAsia"/>
                <w:b w:val="0"/>
                <w:bCs/>
                <w:sz w:val="22"/>
                <w:lang w:val="en-US" w:eastAsia="zh-CN"/>
              </w:rPr>
              <w:t>10</w:t>
            </w:r>
            <w:r>
              <w:rPr>
                <w:b w:val="0"/>
                <w:bCs/>
                <w:sz w:val="22"/>
              </w:rPr>
              <w:t xml:space="preserve"> 分</w:t>
            </w:r>
          </w:p>
        </w:tc>
        <w:tc>
          <w:tcPr>
            <w:tcW w:w="7367" w:type="dxa"/>
            <w:noWrap w:val="0"/>
            <w:vAlign w:val="center"/>
          </w:tcPr>
          <w:p>
            <w:pPr>
              <w:pStyle w:val="13"/>
              <w:jc w:val="left"/>
              <w:rPr>
                <w:rFonts w:hint="eastAsia"/>
                <w:b w:val="0"/>
                <w:bCs/>
                <w:sz w:val="22"/>
                <w:lang w:val="en-US" w:eastAsia="zh-CN"/>
              </w:rPr>
            </w:pPr>
            <w:r>
              <w:rPr>
                <w:rFonts w:hint="eastAsia" w:ascii="仿宋" w:hAnsi="仿宋" w:eastAsia="仿宋" w:cs="仿宋"/>
                <w:b w:val="0"/>
                <w:bCs w:val="0"/>
                <w:i w:val="0"/>
                <w:color w:val="auto"/>
                <w:kern w:val="0"/>
                <w:sz w:val="24"/>
                <w:szCs w:val="24"/>
                <w:u w:val="none"/>
                <w:lang w:val="en-US" w:eastAsia="zh-CN" w:bidi="ar"/>
              </w:rPr>
              <w:t>具有消防设施工程专业承包资质</w:t>
            </w:r>
            <w:r>
              <w:rPr>
                <w:rFonts w:hint="eastAsia"/>
                <w:b w:val="0"/>
                <w:bCs/>
                <w:color w:val="auto"/>
                <w:sz w:val="22"/>
                <w:lang w:val="en-US" w:eastAsia="zh-CN"/>
              </w:rPr>
              <w:t>，</w:t>
            </w:r>
            <w:r>
              <w:rPr>
                <w:rFonts w:hint="eastAsia"/>
                <w:b w:val="0"/>
                <w:bCs/>
                <w:sz w:val="22"/>
                <w:lang w:val="en-US" w:eastAsia="zh-CN"/>
              </w:rPr>
              <w:t>并提供营业执照复印件，得10分。</w:t>
            </w:r>
          </w:p>
          <w:p>
            <w:pPr>
              <w:pStyle w:val="13"/>
              <w:jc w:val="left"/>
              <w:rPr>
                <w:rFonts w:hint="default"/>
                <w:b w:val="0"/>
                <w:bCs/>
                <w:sz w:val="22"/>
                <w:lang w:val="en-US" w:eastAsia="zh-CN"/>
              </w:rPr>
            </w:pPr>
            <w:r>
              <w:rPr>
                <w:rFonts w:hint="eastAsia"/>
                <w:b w:val="0"/>
                <w:bCs/>
                <w:sz w:val="22"/>
                <w:lang w:val="en-US" w:eastAsia="zh-CN"/>
              </w:rPr>
              <w:t>无法提供资质或营业执照等企业认证文件，视为无效文件。</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0" w:hRule="atLeast"/>
        </w:trPr>
        <w:tc>
          <w:tcPr>
            <w:tcW w:w="10073" w:type="dxa"/>
            <w:gridSpan w:val="4"/>
            <w:noWrap w:val="0"/>
            <w:vAlign w:val="center"/>
          </w:tcPr>
          <w:p>
            <w:pPr>
              <w:pStyle w:val="13"/>
              <w:jc w:val="center"/>
              <w:rPr>
                <w:b w:val="0"/>
                <w:bCs/>
                <w:sz w:val="22"/>
              </w:rPr>
            </w:pPr>
            <w:r>
              <w:rPr>
                <w:rFonts w:hint="eastAsia"/>
                <w:b/>
                <w:sz w:val="24"/>
                <w:szCs w:val="24"/>
                <w:lang w:val="en-US" w:eastAsia="zh-CN"/>
              </w:rPr>
              <w:t>技术部分（60分）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trPr>
        <w:tc>
          <w:tcPr>
            <w:tcW w:w="656"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w w:val="100"/>
                <w:sz w:val="22"/>
                <w:lang w:val="en-US" w:eastAsia="zh-CN"/>
              </w:rPr>
            </w:pPr>
            <w:r>
              <w:rPr>
                <w:rFonts w:hint="eastAsia" w:ascii="宋体" w:hAnsi="宋体" w:cs="宋体"/>
                <w:b w:val="0"/>
                <w:bCs/>
                <w:kern w:val="2"/>
                <w:sz w:val="22"/>
                <w:szCs w:val="24"/>
                <w:lang w:val="en-US" w:eastAsia="zh-CN" w:bidi="zh-CN"/>
              </w:rPr>
              <w:t>1</w:t>
            </w:r>
          </w:p>
        </w:tc>
        <w:tc>
          <w:tcPr>
            <w:tcW w:w="1183"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w w:val="100"/>
                <w:sz w:val="22"/>
                <w:lang w:val="en-US" w:eastAsia="zh-CN"/>
              </w:rPr>
            </w:pPr>
            <w:r>
              <w:rPr>
                <w:rFonts w:hint="eastAsia" w:ascii="宋体" w:hAnsi="宋体" w:eastAsia="宋体" w:cs="宋体"/>
                <w:b w:val="0"/>
                <w:bCs/>
                <w:kern w:val="2"/>
                <w:sz w:val="22"/>
                <w:szCs w:val="24"/>
                <w:lang w:val="en-US" w:eastAsia="zh-CN" w:bidi="zh-CN"/>
              </w:rPr>
              <w:t>施工方案</w:t>
            </w:r>
          </w:p>
        </w:tc>
        <w:tc>
          <w:tcPr>
            <w:tcW w:w="867"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w w:val="100"/>
                <w:sz w:val="22"/>
                <w:lang w:val="en-US" w:eastAsia="zh-CN"/>
              </w:rPr>
            </w:pPr>
            <w:r>
              <w:rPr>
                <w:rFonts w:hint="eastAsia" w:ascii="宋体" w:hAnsi="宋体" w:cs="宋体"/>
                <w:b w:val="0"/>
                <w:bCs/>
                <w:kern w:val="2"/>
                <w:sz w:val="22"/>
                <w:szCs w:val="24"/>
                <w:lang w:val="en-US" w:eastAsia="zh-CN" w:bidi="zh-CN"/>
              </w:rPr>
              <w:t>20</w:t>
            </w:r>
            <w:r>
              <w:rPr>
                <w:rFonts w:hint="eastAsia" w:ascii="宋体" w:hAnsi="宋体" w:eastAsia="宋体" w:cs="宋体"/>
                <w:b w:val="0"/>
                <w:bCs/>
                <w:kern w:val="2"/>
                <w:sz w:val="22"/>
                <w:szCs w:val="24"/>
                <w:lang w:val="en-US" w:eastAsia="zh-CN" w:bidi="zh-CN"/>
              </w:rPr>
              <w:t>分</w:t>
            </w:r>
          </w:p>
        </w:tc>
        <w:tc>
          <w:tcPr>
            <w:tcW w:w="7367" w:type="dxa"/>
            <w:noWrap w:val="0"/>
            <w:vAlign w:val="center"/>
          </w:tcPr>
          <w:p>
            <w:pPr>
              <w:pStyle w:val="13"/>
              <w:jc w:val="left"/>
              <w:rPr>
                <w:rFonts w:hint="eastAsia"/>
                <w:b w:val="0"/>
                <w:bCs/>
                <w:sz w:val="22"/>
                <w:lang w:val="en-US" w:eastAsia="zh-CN"/>
              </w:rPr>
            </w:pPr>
            <w:r>
              <w:rPr>
                <w:rFonts w:hint="eastAsia" w:ascii="宋体" w:hAnsi="宋体" w:eastAsia="宋体" w:cs="宋体"/>
                <w:b w:val="0"/>
                <w:bCs/>
                <w:kern w:val="2"/>
                <w:sz w:val="22"/>
                <w:szCs w:val="24"/>
                <w:lang w:val="en-US" w:eastAsia="zh-CN" w:bidi="zh-CN"/>
              </w:rPr>
              <w:t>对工程整体有深刻认识、表述完整、措施先进，施工段划分清晰、合理，符合规范要求。</w:t>
            </w:r>
            <w:r>
              <w:rPr>
                <w:rFonts w:hint="eastAsia"/>
                <w:b w:val="0"/>
                <w:bCs/>
                <w:sz w:val="22"/>
                <w:lang w:val="en-US" w:eastAsia="zh-CN"/>
              </w:rPr>
              <w:t>服务方案完整，各项措施全面，针对性强得15-20分；</w:t>
            </w:r>
          </w:p>
          <w:p>
            <w:pPr>
              <w:pStyle w:val="13"/>
              <w:jc w:val="left"/>
              <w:rPr>
                <w:rFonts w:hint="eastAsia"/>
                <w:b w:val="0"/>
                <w:bCs/>
                <w:sz w:val="22"/>
                <w:lang w:val="en-US" w:eastAsia="zh-CN"/>
              </w:rPr>
            </w:pPr>
            <w:r>
              <w:rPr>
                <w:rFonts w:hint="eastAsia"/>
                <w:b w:val="0"/>
                <w:bCs/>
                <w:sz w:val="22"/>
                <w:lang w:val="en-US" w:eastAsia="zh-CN"/>
              </w:rPr>
              <w:t>服务方案较完整，各项措施不够全面，针对性一般得8-14分；</w:t>
            </w:r>
          </w:p>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w w:val="100"/>
                <w:sz w:val="22"/>
                <w:lang w:val="en-US" w:eastAsia="zh-CN"/>
              </w:rPr>
            </w:pPr>
            <w:r>
              <w:rPr>
                <w:rFonts w:hint="eastAsia"/>
                <w:b w:val="0"/>
                <w:bCs/>
                <w:sz w:val="22"/>
                <w:lang w:val="en-US" w:eastAsia="zh-CN"/>
              </w:rPr>
              <w:t>服务方案不完整，各项措施不全面，针对性较差得1-7分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trPr>
        <w:tc>
          <w:tcPr>
            <w:tcW w:w="656"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b w:val="0"/>
                <w:bCs/>
                <w:sz w:val="22"/>
                <w:lang w:val="en-US" w:eastAsia="zh-CN"/>
              </w:rPr>
            </w:pPr>
            <w:r>
              <w:rPr>
                <w:rFonts w:hint="eastAsia" w:ascii="宋体" w:hAnsi="宋体" w:cs="宋体"/>
                <w:b w:val="0"/>
                <w:bCs/>
                <w:kern w:val="2"/>
                <w:sz w:val="22"/>
                <w:szCs w:val="24"/>
                <w:lang w:val="en-US" w:eastAsia="zh-CN" w:bidi="zh-CN"/>
              </w:rPr>
              <w:t>2</w:t>
            </w:r>
          </w:p>
        </w:tc>
        <w:tc>
          <w:tcPr>
            <w:tcW w:w="1183"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b w:val="0"/>
                <w:bCs/>
                <w:sz w:val="22"/>
                <w:lang w:val="en-US" w:eastAsia="zh-CN"/>
              </w:rPr>
            </w:pPr>
            <w:r>
              <w:rPr>
                <w:rFonts w:hint="eastAsia" w:ascii="宋体" w:hAnsi="宋体" w:eastAsia="宋体" w:cs="宋体"/>
                <w:b w:val="0"/>
                <w:bCs/>
                <w:kern w:val="2"/>
                <w:sz w:val="22"/>
                <w:szCs w:val="24"/>
                <w:lang w:val="en-US" w:eastAsia="zh-CN" w:bidi="zh-CN"/>
              </w:rPr>
              <w:t>施工总进度计划及保证措施</w:t>
            </w:r>
          </w:p>
        </w:tc>
        <w:tc>
          <w:tcPr>
            <w:tcW w:w="867"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b w:val="0"/>
                <w:bCs/>
                <w:sz w:val="22"/>
                <w:lang w:val="en-US" w:eastAsia="zh-CN"/>
              </w:rPr>
            </w:pPr>
            <w:r>
              <w:rPr>
                <w:rFonts w:hint="eastAsia" w:ascii="宋体" w:hAnsi="宋体" w:cs="宋体"/>
                <w:b w:val="0"/>
                <w:bCs/>
                <w:kern w:val="2"/>
                <w:sz w:val="22"/>
                <w:szCs w:val="24"/>
                <w:lang w:val="en-US" w:eastAsia="zh-CN" w:bidi="zh-CN"/>
              </w:rPr>
              <w:t>20</w:t>
            </w:r>
            <w:r>
              <w:rPr>
                <w:rFonts w:hint="eastAsia" w:ascii="宋体" w:hAnsi="宋体" w:eastAsia="宋体" w:cs="宋体"/>
                <w:b w:val="0"/>
                <w:bCs/>
                <w:kern w:val="2"/>
                <w:sz w:val="22"/>
                <w:szCs w:val="24"/>
                <w:lang w:val="en-US" w:eastAsia="zh-CN" w:bidi="zh-CN"/>
              </w:rPr>
              <w:t>分</w:t>
            </w:r>
          </w:p>
        </w:tc>
        <w:tc>
          <w:tcPr>
            <w:tcW w:w="7367" w:type="dxa"/>
            <w:noWrap w:val="0"/>
            <w:vAlign w:val="center"/>
          </w:tcPr>
          <w:p>
            <w:pPr>
              <w:keepNext w:val="0"/>
              <w:keepLines w:val="0"/>
              <w:pageBreakBefore w:val="0"/>
              <w:widowControl/>
              <w:numPr>
                <w:ilvl w:val="0"/>
                <w:numId w:val="0"/>
              </w:numPr>
              <w:kinsoku/>
              <w:wordWrap/>
              <w:overflowPunct/>
              <w:topLinePunct w:val="0"/>
              <w:autoSpaceDE/>
              <w:autoSpaceDN/>
              <w:bidi w:val="0"/>
              <w:adjustRightInd/>
              <w:snapToGrid/>
              <w:spacing w:line="320" w:lineRule="exact"/>
              <w:ind w:left="0" w:leftChars="0" w:firstLine="0" w:firstLineChars="0"/>
              <w:jc w:val="left"/>
              <w:textAlignment w:val="auto"/>
              <w:rPr>
                <w:rFonts w:hint="eastAsia"/>
                <w:lang w:val="en-US" w:eastAsia="zh-CN"/>
              </w:rPr>
            </w:pPr>
            <w:r>
              <w:rPr>
                <w:rFonts w:hint="eastAsia"/>
                <w:lang w:val="en-US" w:eastAsia="zh-CN"/>
              </w:rPr>
              <w:t>投入计划与进度计划相呼应，满足工程施工需要，投入计划合理准确，劳动力、材料、机械设备投入的保证措施完善合理。</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300" w:lineRule="exact"/>
              <w:ind w:left="0" w:leftChars="0" w:firstLine="0" w:firstLineChars="0"/>
              <w:textAlignment w:val="auto"/>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投入计划合理准确，各项措施全面，针对性强得</w:t>
            </w:r>
            <w:r>
              <w:rPr>
                <w:rFonts w:hint="eastAsia"/>
                <w:b w:val="0"/>
                <w:bCs/>
                <w:sz w:val="22"/>
                <w:lang w:val="en-US" w:eastAsia="zh-CN"/>
              </w:rPr>
              <w:t>15-20</w:t>
            </w:r>
            <w:r>
              <w:rPr>
                <w:rFonts w:hint="eastAsia" w:ascii="Calibri" w:hAnsi="Calibri" w:eastAsia="宋体" w:cs="Times New Roman"/>
                <w:kern w:val="2"/>
                <w:sz w:val="21"/>
                <w:szCs w:val="24"/>
                <w:lang w:val="en-US" w:eastAsia="zh-CN" w:bidi="ar-SA"/>
              </w:rPr>
              <w:t>分</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300" w:lineRule="exact"/>
              <w:ind w:left="0" w:leftChars="0" w:firstLine="0" w:firstLineChars="0"/>
              <w:textAlignment w:val="auto"/>
              <w:rPr>
                <w:rFonts w:hint="eastAsia" w:ascii="Calibri" w:hAnsi="Calibri" w:eastAsia="宋体" w:cs="Times New Roman"/>
                <w:kern w:val="2"/>
                <w:sz w:val="21"/>
                <w:szCs w:val="24"/>
                <w:lang w:val="en-US" w:eastAsia="zh-CN" w:bidi="ar-SA"/>
              </w:rPr>
            </w:pPr>
            <w:r>
              <w:rPr>
                <w:rFonts w:hint="eastAsia" w:ascii="Calibri" w:hAnsi="Calibri" w:eastAsia="宋体" w:cs="Times New Roman"/>
                <w:kern w:val="2"/>
                <w:sz w:val="21"/>
                <w:szCs w:val="24"/>
                <w:lang w:val="en-US" w:eastAsia="zh-CN" w:bidi="ar-SA"/>
              </w:rPr>
              <w:t>投入计划</w:t>
            </w:r>
            <w:r>
              <w:rPr>
                <w:rFonts w:hint="eastAsia" w:cs="Times New Roman"/>
                <w:kern w:val="2"/>
                <w:sz w:val="21"/>
                <w:szCs w:val="24"/>
                <w:lang w:val="en-US" w:eastAsia="zh-CN" w:bidi="ar-SA"/>
              </w:rPr>
              <w:t>较</w:t>
            </w:r>
            <w:r>
              <w:rPr>
                <w:rFonts w:hint="eastAsia" w:ascii="Calibri" w:hAnsi="Calibri" w:eastAsia="宋体" w:cs="Times New Roman"/>
                <w:kern w:val="2"/>
                <w:sz w:val="21"/>
                <w:szCs w:val="24"/>
                <w:lang w:val="en-US" w:eastAsia="zh-CN" w:bidi="ar-SA"/>
              </w:rPr>
              <w:t>合理准确，各项措施</w:t>
            </w:r>
            <w:r>
              <w:rPr>
                <w:rFonts w:hint="eastAsia" w:cs="Times New Roman"/>
                <w:kern w:val="2"/>
                <w:sz w:val="21"/>
                <w:szCs w:val="24"/>
                <w:lang w:val="en-US" w:eastAsia="zh-CN" w:bidi="ar-SA"/>
              </w:rPr>
              <w:t>不够</w:t>
            </w:r>
            <w:r>
              <w:rPr>
                <w:rFonts w:hint="eastAsia" w:ascii="Calibri" w:hAnsi="Calibri" w:eastAsia="宋体" w:cs="Times New Roman"/>
                <w:kern w:val="2"/>
                <w:sz w:val="21"/>
                <w:szCs w:val="24"/>
                <w:lang w:val="en-US" w:eastAsia="zh-CN" w:bidi="ar-SA"/>
              </w:rPr>
              <w:t>全面，针对性</w:t>
            </w:r>
            <w:r>
              <w:rPr>
                <w:rFonts w:hint="eastAsia" w:cs="Times New Roman"/>
                <w:kern w:val="2"/>
                <w:sz w:val="21"/>
                <w:szCs w:val="24"/>
                <w:lang w:val="en-US" w:eastAsia="zh-CN" w:bidi="ar-SA"/>
              </w:rPr>
              <w:t>一般</w:t>
            </w:r>
            <w:r>
              <w:rPr>
                <w:rFonts w:hint="eastAsia" w:ascii="Calibri" w:hAnsi="Calibri" w:eastAsia="宋体" w:cs="Times New Roman"/>
                <w:kern w:val="2"/>
                <w:sz w:val="21"/>
                <w:szCs w:val="24"/>
                <w:lang w:val="en-US" w:eastAsia="zh-CN" w:bidi="ar-SA"/>
              </w:rPr>
              <w:t>得</w:t>
            </w:r>
            <w:r>
              <w:rPr>
                <w:rFonts w:hint="eastAsia"/>
                <w:b w:val="0"/>
                <w:bCs/>
                <w:sz w:val="22"/>
                <w:lang w:val="en-US" w:eastAsia="zh-CN"/>
              </w:rPr>
              <w:t>8-14</w:t>
            </w:r>
            <w:r>
              <w:rPr>
                <w:rFonts w:hint="eastAsia" w:ascii="Calibri" w:hAnsi="Calibri" w:eastAsia="宋体" w:cs="Times New Roman"/>
                <w:kern w:val="2"/>
                <w:sz w:val="21"/>
                <w:szCs w:val="24"/>
                <w:lang w:val="en-US" w:eastAsia="zh-CN" w:bidi="ar-SA"/>
              </w:rPr>
              <w:t>分</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300" w:lineRule="exact"/>
              <w:ind w:left="0" w:leftChars="0" w:firstLine="0" w:firstLineChars="0"/>
              <w:textAlignment w:val="auto"/>
              <w:rPr>
                <w:rFonts w:hint="eastAsia"/>
                <w:b w:val="0"/>
                <w:bCs/>
                <w:sz w:val="22"/>
                <w:lang w:val="en-US" w:eastAsia="zh-CN"/>
              </w:rPr>
            </w:pPr>
            <w:r>
              <w:rPr>
                <w:rFonts w:hint="eastAsia" w:ascii="Calibri" w:hAnsi="Calibri" w:eastAsia="宋体" w:cs="Times New Roman"/>
                <w:kern w:val="2"/>
                <w:sz w:val="21"/>
                <w:szCs w:val="24"/>
                <w:lang w:val="en-US" w:eastAsia="zh-CN" w:bidi="ar-SA"/>
              </w:rPr>
              <w:t>投入计划</w:t>
            </w:r>
            <w:r>
              <w:rPr>
                <w:rFonts w:hint="eastAsia" w:cs="Times New Roman"/>
                <w:kern w:val="2"/>
                <w:sz w:val="21"/>
                <w:szCs w:val="24"/>
                <w:lang w:val="en-US" w:eastAsia="zh-CN" w:bidi="ar-SA"/>
              </w:rPr>
              <w:t>不</w:t>
            </w:r>
            <w:r>
              <w:rPr>
                <w:rFonts w:hint="eastAsia" w:ascii="Calibri" w:hAnsi="Calibri" w:eastAsia="宋体" w:cs="Times New Roman"/>
                <w:kern w:val="2"/>
                <w:sz w:val="21"/>
                <w:szCs w:val="24"/>
                <w:lang w:val="en-US" w:eastAsia="zh-CN" w:bidi="ar-SA"/>
              </w:rPr>
              <w:t>合理准确，各项措施</w:t>
            </w:r>
            <w:r>
              <w:rPr>
                <w:rFonts w:hint="eastAsia" w:cs="Times New Roman"/>
                <w:kern w:val="2"/>
                <w:sz w:val="21"/>
                <w:szCs w:val="24"/>
                <w:lang w:val="en-US" w:eastAsia="zh-CN" w:bidi="ar-SA"/>
              </w:rPr>
              <w:t>不</w:t>
            </w:r>
            <w:r>
              <w:rPr>
                <w:rFonts w:hint="eastAsia" w:ascii="Calibri" w:hAnsi="Calibri" w:eastAsia="宋体" w:cs="Times New Roman"/>
                <w:kern w:val="2"/>
                <w:sz w:val="21"/>
                <w:szCs w:val="24"/>
                <w:lang w:val="en-US" w:eastAsia="zh-CN" w:bidi="ar-SA"/>
              </w:rPr>
              <w:t>全面，针对性</w:t>
            </w:r>
            <w:r>
              <w:rPr>
                <w:rFonts w:hint="eastAsia" w:cs="Times New Roman"/>
                <w:kern w:val="2"/>
                <w:sz w:val="21"/>
                <w:szCs w:val="24"/>
                <w:lang w:val="en-US" w:eastAsia="zh-CN" w:bidi="ar-SA"/>
              </w:rPr>
              <w:t>差得</w:t>
            </w:r>
            <w:r>
              <w:rPr>
                <w:rFonts w:hint="eastAsia"/>
                <w:b w:val="0"/>
                <w:bCs/>
                <w:sz w:val="22"/>
                <w:lang w:val="en-US" w:eastAsia="zh-CN"/>
              </w:rPr>
              <w:t>1-7</w:t>
            </w:r>
            <w:r>
              <w:rPr>
                <w:rFonts w:hint="eastAsia" w:ascii="Calibri" w:hAnsi="Calibri" w:eastAsia="宋体" w:cs="Times New Roman"/>
                <w:kern w:val="2"/>
                <w:sz w:val="21"/>
                <w:szCs w:val="24"/>
                <w:lang w:val="en-US" w:eastAsia="zh-CN" w:bidi="ar-SA"/>
              </w:rPr>
              <w:t>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191" w:hRule="atLeast"/>
        </w:trPr>
        <w:tc>
          <w:tcPr>
            <w:tcW w:w="656"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b w:val="0"/>
                <w:bCs/>
                <w:kern w:val="2"/>
                <w:sz w:val="22"/>
                <w:szCs w:val="24"/>
                <w:lang w:val="en-US" w:eastAsia="zh-CN" w:bidi="zh-CN"/>
              </w:rPr>
            </w:pPr>
            <w:r>
              <w:rPr>
                <w:rFonts w:hint="eastAsia" w:ascii="宋体" w:hAnsi="宋体" w:cs="宋体"/>
                <w:b w:val="0"/>
                <w:bCs/>
                <w:kern w:val="2"/>
                <w:sz w:val="22"/>
                <w:szCs w:val="24"/>
                <w:lang w:val="en-US" w:eastAsia="zh-CN" w:bidi="zh-CN"/>
              </w:rPr>
              <w:t>3</w:t>
            </w:r>
          </w:p>
        </w:tc>
        <w:tc>
          <w:tcPr>
            <w:tcW w:w="1183" w:type="dxa"/>
            <w:noWrap w:val="0"/>
            <w:vAlign w:val="center"/>
          </w:tcPr>
          <w:p>
            <w:pPr>
              <w:keepNext w:val="0"/>
              <w:keepLines w:val="0"/>
              <w:pageBreakBefore w:val="0"/>
              <w:kinsoku/>
              <w:wordWrap/>
              <w:overflowPunct/>
              <w:topLinePunct w:val="0"/>
              <w:autoSpaceDE/>
              <w:autoSpaceDN/>
              <w:bidi w:val="0"/>
              <w:adjustRightInd/>
              <w:snapToGrid/>
              <w:spacing w:line="320" w:lineRule="exact"/>
              <w:jc w:val="both"/>
              <w:textAlignment w:val="auto"/>
              <w:rPr>
                <w:rFonts w:hint="eastAsia" w:ascii="宋体" w:hAnsi="宋体" w:eastAsia="宋体" w:cs="宋体"/>
                <w:b w:val="0"/>
                <w:bCs/>
                <w:kern w:val="2"/>
                <w:sz w:val="22"/>
                <w:szCs w:val="24"/>
                <w:lang w:val="en-US" w:eastAsia="zh-CN" w:bidi="zh-CN"/>
              </w:rPr>
            </w:pPr>
            <w:r>
              <w:rPr>
                <w:rFonts w:hint="eastAsia" w:ascii="宋体" w:hAnsi="宋体" w:eastAsia="宋体" w:cs="宋体"/>
                <w:b w:val="0"/>
                <w:bCs/>
                <w:kern w:val="2"/>
                <w:sz w:val="22"/>
                <w:szCs w:val="24"/>
                <w:lang w:val="en-US" w:eastAsia="zh-CN" w:bidi="zh-CN"/>
              </w:rPr>
              <w:t>质量保证措施计划</w:t>
            </w:r>
          </w:p>
        </w:tc>
        <w:tc>
          <w:tcPr>
            <w:tcW w:w="867" w:type="dxa"/>
            <w:noWrap w:val="0"/>
            <w:vAlign w:val="center"/>
          </w:tcPr>
          <w:p>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cs="宋体"/>
                <w:b w:val="0"/>
                <w:bCs/>
                <w:kern w:val="2"/>
                <w:sz w:val="22"/>
                <w:szCs w:val="24"/>
                <w:lang w:val="en-US" w:eastAsia="zh-CN" w:bidi="zh-CN"/>
              </w:rPr>
            </w:pPr>
            <w:r>
              <w:rPr>
                <w:rFonts w:hint="eastAsia" w:ascii="宋体" w:hAnsi="宋体" w:cs="宋体"/>
                <w:b w:val="0"/>
                <w:bCs/>
                <w:kern w:val="2"/>
                <w:sz w:val="22"/>
                <w:szCs w:val="24"/>
                <w:lang w:val="en-US" w:eastAsia="zh-CN" w:bidi="zh-CN"/>
              </w:rPr>
              <w:t>20</w:t>
            </w:r>
            <w:r>
              <w:rPr>
                <w:rFonts w:hint="eastAsia" w:ascii="宋体" w:hAnsi="宋体" w:eastAsia="宋体" w:cs="宋体"/>
                <w:b w:val="0"/>
                <w:bCs/>
                <w:kern w:val="2"/>
                <w:sz w:val="22"/>
                <w:szCs w:val="24"/>
                <w:lang w:val="en-US" w:eastAsia="zh-CN" w:bidi="zh-CN"/>
              </w:rPr>
              <w:t>分</w:t>
            </w:r>
          </w:p>
        </w:tc>
        <w:tc>
          <w:tcPr>
            <w:tcW w:w="7367" w:type="dxa"/>
            <w:noWrap w:val="0"/>
            <w:vAlign w:val="center"/>
          </w:tcPr>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300" w:lineRule="exact"/>
              <w:ind w:left="0" w:leftChars="0" w:firstLine="0" w:firstLineChars="0"/>
              <w:textAlignment w:val="auto"/>
              <w:rPr>
                <w:rFonts w:hint="eastAsia" w:ascii="宋体" w:hAnsi="宋体" w:eastAsia="宋体" w:cs="宋体"/>
                <w:b w:val="0"/>
                <w:bCs/>
                <w:kern w:val="2"/>
                <w:sz w:val="22"/>
                <w:szCs w:val="24"/>
                <w:lang w:val="en-US" w:eastAsia="zh-CN" w:bidi="zh-CN"/>
              </w:rPr>
            </w:pPr>
            <w:r>
              <w:rPr>
                <w:rFonts w:hint="eastAsia" w:ascii="宋体" w:hAnsi="宋体" w:eastAsia="宋体" w:cs="宋体"/>
                <w:b w:val="0"/>
                <w:bCs/>
                <w:kern w:val="2"/>
                <w:sz w:val="22"/>
                <w:szCs w:val="24"/>
                <w:lang w:val="en-US" w:eastAsia="zh-CN" w:bidi="zh-CN"/>
              </w:rPr>
              <w:t>针对项目实际情况有先进、可行、具体保证措施。</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300" w:lineRule="exact"/>
              <w:ind w:left="0" w:leftChars="0" w:firstLine="0" w:firstLineChars="0"/>
              <w:textAlignment w:val="auto"/>
              <w:rPr>
                <w:rFonts w:hint="eastAsia" w:ascii="Calibri" w:hAnsi="Calibri" w:eastAsia="宋体" w:cs="Times New Roman"/>
                <w:kern w:val="2"/>
                <w:sz w:val="21"/>
                <w:szCs w:val="24"/>
                <w:lang w:val="en-US" w:eastAsia="zh-CN" w:bidi="ar-SA"/>
              </w:rPr>
            </w:pPr>
            <w:r>
              <w:rPr>
                <w:rFonts w:hint="eastAsia" w:ascii="宋体" w:hAnsi="宋体" w:cs="宋体"/>
                <w:b w:val="0"/>
                <w:bCs/>
                <w:kern w:val="2"/>
                <w:sz w:val="22"/>
                <w:szCs w:val="24"/>
                <w:lang w:val="en-US" w:eastAsia="zh-CN" w:bidi="zh-CN"/>
              </w:rPr>
              <w:t>保障措施</w:t>
            </w:r>
            <w:r>
              <w:rPr>
                <w:rFonts w:hint="eastAsia" w:ascii="Calibri" w:hAnsi="Calibri" w:eastAsia="宋体" w:cs="Times New Roman"/>
                <w:kern w:val="2"/>
                <w:sz w:val="21"/>
                <w:szCs w:val="24"/>
                <w:lang w:val="en-US" w:eastAsia="zh-CN" w:bidi="ar-SA"/>
              </w:rPr>
              <w:t>合理准确</w:t>
            </w:r>
            <w:r>
              <w:rPr>
                <w:rFonts w:hint="eastAsia" w:cs="Times New Roman"/>
                <w:kern w:val="2"/>
                <w:sz w:val="21"/>
                <w:szCs w:val="24"/>
                <w:lang w:val="en-US" w:eastAsia="zh-CN" w:bidi="ar-SA"/>
              </w:rPr>
              <w:t>，措施全面</w:t>
            </w:r>
            <w:r>
              <w:rPr>
                <w:rFonts w:hint="eastAsia" w:ascii="Calibri" w:hAnsi="Calibri" w:eastAsia="宋体" w:cs="Times New Roman"/>
                <w:kern w:val="2"/>
                <w:sz w:val="21"/>
                <w:szCs w:val="24"/>
                <w:lang w:val="en-US" w:eastAsia="zh-CN" w:bidi="ar-SA"/>
              </w:rPr>
              <w:t>得</w:t>
            </w:r>
            <w:r>
              <w:rPr>
                <w:rFonts w:hint="eastAsia"/>
                <w:b w:val="0"/>
                <w:bCs/>
                <w:sz w:val="22"/>
                <w:lang w:val="en-US" w:eastAsia="zh-CN"/>
              </w:rPr>
              <w:t>15-20</w:t>
            </w:r>
            <w:r>
              <w:rPr>
                <w:rFonts w:hint="eastAsia" w:ascii="Calibri" w:hAnsi="Calibri" w:eastAsia="宋体" w:cs="Times New Roman"/>
                <w:kern w:val="2"/>
                <w:sz w:val="21"/>
                <w:szCs w:val="24"/>
                <w:lang w:val="en-US" w:eastAsia="zh-CN" w:bidi="ar-SA"/>
              </w:rPr>
              <w:t>分</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300" w:lineRule="exact"/>
              <w:ind w:left="0" w:leftChars="0" w:firstLine="0" w:firstLineChars="0"/>
              <w:textAlignment w:val="auto"/>
              <w:rPr>
                <w:rFonts w:hint="eastAsia" w:ascii="Calibri" w:hAnsi="Calibri" w:eastAsia="宋体" w:cs="Times New Roman"/>
                <w:kern w:val="2"/>
                <w:sz w:val="21"/>
                <w:szCs w:val="24"/>
                <w:lang w:val="en-US" w:eastAsia="zh-CN" w:bidi="ar-SA"/>
              </w:rPr>
            </w:pPr>
            <w:r>
              <w:rPr>
                <w:rFonts w:hint="eastAsia" w:ascii="宋体" w:hAnsi="宋体" w:cs="宋体"/>
                <w:b w:val="0"/>
                <w:bCs/>
                <w:kern w:val="2"/>
                <w:sz w:val="22"/>
                <w:szCs w:val="24"/>
                <w:lang w:val="en-US" w:eastAsia="zh-CN" w:bidi="zh-CN"/>
              </w:rPr>
              <w:t>保障措施</w:t>
            </w:r>
            <w:r>
              <w:rPr>
                <w:rFonts w:hint="eastAsia" w:cs="Times New Roman"/>
                <w:kern w:val="2"/>
                <w:sz w:val="21"/>
                <w:szCs w:val="24"/>
                <w:lang w:val="en-US" w:eastAsia="zh-CN" w:bidi="ar-SA"/>
              </w:rPr>
              <w:t>较</w:t>
            </w:r>
            <w:r>
              <w:rPr>
                <w:rFonts w:hint="eastAsia" w:ascii="Calibri" w:hAnsi="Calibri" w:eastAsia="宋体" w:cs="Times New Roman"/>
                <w:kern w:val="2"/>
                <w:sz w:val="21"/>
                <w:szCs w:val="24"/>
                <w:lang w:val="en-US" w:eastAsia="zh-CN" w:bidi="ar-SA"/>
              </w:rPr>
              <w:t>合理准确，措施</w:t>
            </w:r>
            <w:r>
              <w:rPr>
                <w:rFonts w:hint="eastAsia" w:cs="Times New Roman"/>
                <w:kern w:val="2"/>
                <w:sz w:val="21"/>
                <w:szCs w:val="24"/>
                <w:lang w:val="en-US" w:eastAsia="zh-CN" w:bidi="ar-SA"/>
              </w:rPr>
              <w:t>不够</w:t>
            </w:r>
            <w:r>
              <w:rPr>
                <w:rFonts w:hint="eastAsia" w:ascii="Calibri" w:hAnsi="Calibri" w:eastAsia="宋体" w:cs="Times New Roman"/>
                <w:kern w:val="2"/>
                <w:sz w:val="21"/>
                <w:szCs w:val="24"/>
                <w:lang w:val="en-US" w:eastAsia="zh-CN" w:bidi="ar-SA"/>
              </w:rPr>
              <w:t>全面得</w:t>
            </w:r>
            <w:r>
              <w:rPr>
                <w:rFonts w:hint="eastAsia"/>
                <w:b w:val="0"/>
                <w:bCs/>
                <w:sz w:val="22"/>
                <w:lang w:val="en-US" w:eastAsia="zh-CN"/>
              </w:rPr>
              <w:t>8-14</w:t>
            </w:r>
            <w:r>
              <w:rPr>
                <w:rFonts w:hint="eastAsia" w:ascii="Calibri" w:hAnsi="Calibri" w:eastAsia="宋体" w:cs="Times New Roman"/>
                <w:kern w:val="2"/>
                <w:sz w:val="21"/>
                <w:szCs w:val="24"/>
                <w:lang w:val="en-US" w:eastAsia="zh-CN" w:bidi="ar-SA"/>
              </w:rPr>
              <w:t>分</w:t>
            </w:r>
          </w:p>
          <w:p>
            <w:pPr>
              <w:pStyle w:val="2"/>
              <w:keepNext w:val="0"/>
              <w:keepLines w:val="0"/>
              <w:pageBreakBefore w:val="0"/>
              <w:widowControl w:val="0"/>
              <w:kinsoku/>
              <w:wordWrap/>
              <w:overflowPunct/>
              <w:topLinePunct w:val="0"/>
              <w:autoSpaceDE/>
              <w:autoSpaceDN/>
              <w:bidi w:val="0"/>
              <w:adjustRightInd/>
              <w:snapToGrid/>
              <w:spacing w:beforeAutospacing="0" w:after="0" w:afterAutospacing="0" w:line="300" w:lineRule="exact"/>
              <w:ind w:left="0" w:leftChars="0" w:firstLine="0" w:firstLineChars="0"/>
              <w:textAlignment w:val="auto"/>
              <w:rPr>
                <w:rFonts w:hint="eastAsia" w:ascii="宋体" w:hAnsi="宋体" w:eastAsia="宋体" w:cs="宋体"/>
                <w:b w:val="0"/>
                <w:bCs/>
                <w:kern w:val="2"/>
                <w:sz w:val="22"/>
                <w:szCs w:val="24"/>
                <w:lang w:val="en-US" w:eastAsia="zh-CN" w:bidi="zh-CN"/>
              </w:rPr>
            </w:pPr>
            <w:r>
              <w:rPr>
                <w:rFonts w:hint="eastAsia" w:ascii="宋体" w:hAnsi="宋体" w:cs="宋体"/>
                <w:b w:val="0"/>
                <w:bCs/>
                <w:kern w:val="2"/>
                <w:sz w:val="22"/>
                <w:szCs w:val="24"/>
                <w:lang w:val="en-US" w:eastAsia="zh-CN" w:bidi="zh-CN"/>
              </w:rPr>
              <w:t>保障措施不</w:t>
            </w:r>
            <w:r>
              <w:rPr>
                <w:rFonts w:hint="eastAsia" w:ascii="Calibri" w:hAnsi="Calibri" w:eastAsia="宋体" w:cs="Times New Roman"/>
                <w:kern w:val="2"/>
                <w:sz w:val="21"/>
                <w:szCs w:val="24"/>
                <w:lang w:val="en-US" w:eastAsia="zh-CN" w:bidi="ar-SA"/>
              </w:rPr>
              <w:t>合理准确，措施</w:t>
            </w:r>
            <w:r>
              <w:rPr>
                <w:rFonts w:hint="eastAsia" w:cs="Times New Roman"/>
                <w:kern w:val="2"/>
                <w:sz w:val="21"/>
                <w:szCs w:val="24"/>
                <w:lang w:val="en-US" w:eastAsia="zh-CN" w:bidi="ar-SA"/>
              </w:rPr>
              <w:t>不</w:t>
            </w:r>
            <w:r>
              <w:rPr>
                <w:rFonts w:hint="eastAsia" w:ascii="Calibri" w:hAnsi="Calibri" w:eastAsia="宋体" w:cs="Times New Roman"/>
                <w:kern w:val="2"/>
                <w:sz w:val="21"/>
                <w:szCs w:val="24"/>
                <w:lang w:val="en-US" w:eastAsia="zh-CN" w:bidi="ar-SA"/>
              </w:rPr>
              <w:t>全面</w:t>
            </w:r>
            <w:r>
              <w:rPr>
                <w:rFonts w:hint="eastAsia" w:cs="Times New Roman"/>
                <w:kern w:val="2"/>
                <w:sz w:val="21"/>
                <w:szCs w:val="24"/>
                <w:lang w:val="en-US" w:eastAsia="zh-CN" w:bidi="ar-SA"/>
              </w:rPr>
              <w:t>得</w:t>
            </w:r>
            <w:r>
              <w:rPr>
                <w:rFonts w:hint="eastAsia"/>
                <w:b w:val="0"/>
                <w:bCs/>
                <w:sz w:val="22"/>
                <w:lang w:val="en-US" w:eastAsia="zh-CN"/>
              </w:rPr>
              <w:t>1-7</w:t>
            </w:r>
            <w:r>
              <w:rPr>
                <w:rFonts w:hint="eastAsia" w:ascii="Calibri" w:hAnsi="Calibri" w:eastAsia="宋体" w:cs="Times New Roman"/>
                <w:kern w:val="2"/>
                <w:sz w:val="21"/>
                <w:szCs w:val="24"/>
                <w:lang w:val="en-US" w:eastAsia="zh-CN" w:bidi="ar-SA"/>
              </w:rPr>
              <w:t>分</w:t>
            </w:r>
          </w:p>
        </w:tc>
      </w:tr>
    </w:tbl>
    <w:p>
      <w:pPr>
        <w:pStyle w:val="6"/>
        <w:numPr>
          <w:ilvl w:val="0"/>
          <w:numId w:val="0"/>
        </w:numPr>
        <w:ind w:leftChars="200"/>
        <w:rPr>
          <w:rFonts w:hint="default"/>
          <w:lang w:val="en-US" w:eastAsia="zh-CN"/>
        </w:rPr>
      </w:pPr>
    </w:p>
    <w:p>
      <w:pPr>
        <w:pStyle w:val="6"/>
        <w:numPr>
          <w:ilvl w:val="0"/>
          <w:numId w:val="0"/>
        </w:numPr>
        <w:rPr>
          <w:rFonts w:hint="eastAsia" w:ascii="仿宋" w:hAnsi="仿宋" w:eastAsia="仿宋" w:cs="仿宋"/>
          <w:sz w:val="24"/>
          <w:szCs w:val="32"/>
          <w:lang w:val="en-US" w:eastAsia="zh-CN"/>
        </w:rPr>
      </w:pPr>
    </w:p>
    <w:p>
      <w:pPr>
        <w:pStyle w:val="6"/>
        <w:numPr>
          <w:ilvl w:val="0"/>
          <w:numId w:val="0"/>
        </w:numPr>
        <w:ind w:leftChars="200"/>
        <w:rPr>
          <w:rFonts w:hint="eastAsia" w:ascii="仿宋" w:hAnsi="仿宋" w:eastAsia="仿宋" w:cs="仿宋"/>
          <w:sz w:val="24"/>
          <w:szCs w:val="32"/>
          <w:lang w:val="en-US" w:eastAsia="zh-CN"/>
        </w:rPr>
      </w:pPr>
    </w:p>
    <w:sectPr>
      <w:type w:val="continuous"/>
      <w:pgSz w:w="11906" w:h="16838"/>
      <w:pgMar w:top="1327" w:right="1800" w:bottom="1327" w:left="1800" w:header="851" w:footer="992" w:gutter="0"/>
      <w:pgBorders>
        <w:top w:val="none" w:sz="0" w:space="0"/>
        <w:left w:val="none" w:sz="0" w:space="0"/>
        <w:bottom w:val="none" w:sz="0" w:space="0"/>
        <w:right w:val="none" w:sz="0" w:space="0"/>
      </w:pgBorders>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cript"/>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20C1B10"/>
    <w:multiLevelType w:val="singleLevel"/>
    <w:tmpl w:val="820C1B10"/>
    <w:lvl w:ilvl="0" w:tentative="0">
      <w:start w:val="1"/>
      <w:numFmt w:val="chineseCounting"/>
      <w:suff w:val="nothing"/>
      <w:lvlText w:val="（%1）"/>
      <w:lvlJc w:val="left"/>
      <w:rPr>
        <w:rFonts w:hint="eastAsia" w:ascii="仿宋" w:hAnsi="仿宋" w:eastAsia="仿宋" w:cs="仿宋"/>
        <w:sz w:val="24"/>
        <w:szCs w:val="24"/>
      </w:rPr>
    </w:lvl>
  </w:abstractNum>
  <w:abstractNum w:abstractNumId="1">
    <w:nsid w:val="19B6F290"/>
    <w:multiLevelType w:val="singleLevel"/>
    <w:tmpl w:val="19B6F290"/>
    <w:lvl w:ilvl="0" w:tentative="0">
      <w:start w:val="1"/>
      <w:numFmt w:val="chineseCounting"/>
      <w:suff w:val="nothing"/>
      <w:lvlText w:val="%1、"/>
      <w:lvlJc w:val="left"/>
      <w:rPr>
        <w:rFonts w:hint="eastAsia"/>
      </w:rPr>
    </w:lvl>
  </w:abstractNum>
  <w:abstractNum w:abstractNumId="2">
    <w:nsid w:val="1E7A2EA2"/>
    <w:multiLevelType w:val="singleLevel"/>
    <w:tmpl w:val="1E7A2EA2"/>
    <w:lvl w:ilvl="0" w:tentative="0">
      <w:start w:val="1"/>
      <w:numFmt w:val="chineseCounting"/>
      <w:suff w:val="nothing"/>
      <w:lvlText w:val="（%1）"/>
      <w:lvlJc w:val="left"/>
      <w:rPr>
        <w:rFonts w:hint="eastAsia"/>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jVkN2I2NmE4NzY4M2FjNmNhYTMzMTgzZmQxZTg1MmYifQ=="/>
  </w:docVars>
  <w:rsids>
    <w:rsidRoot w:val="7AAF2D79"/>
    <w:rsid w:val="017151B6"/>
    <w:rsid w:val="073E237B"/>
    <w:rsid w:val="0DC363ED"/>
    <w:rsid w:val="101C450C"/>
    <w:rsid w:val="10A65D66"/>
    <w:rsid w:val="118232F4"/>
    <w:rsid w:val="1213040D"/>
    <w:rsid w:val="14385C7A"/>
    <w:rsid w:val="1475255D"/>
    <w:rsid w:val="15516881"/>
    <w:rsid w:val="16335C26"/>
    <w:rsid w:val="17FA0CDD"/>
    <w:rsid w:val="19457B5B"/>
    <w:rsid w:val="1A6C7833"/>
    <w:rsid w:val="1B951185"/>
    <w:rsid w:val="21243ED3"/>
    <w:rsid w:val="26B67141"/>
    <w:rsid w:val="2911509E"/>
    <w:rsid w:val="2D1767D5"/>
    <w:rsid w:val="2D3C2017"/>
    <w:rsid w:val="2DB32E3C"/>
    <w:rsid w:val="2DEB7395"/>
    <w:rsid w:val="2E641555"/>
    <w:rsid w:val="36FA000E"/>
    <w:rsid w:val="38A83A80"/>
    <w:rsid w:val="3CE1135C"/>
    <w:rsid w:val="3E957D42"/>
    <w:rsid w:val="405B41FF"/>
    <w:rsid w:val="4C590A63"/>
    <w:rsid w:val="4DD80701"/>
    <w:rsid w:val="4E2B176A"/>
    <w:rsid w:val="4F5E5174"/>
    <w:rsid w:val="50672FBC"/>
    <w:rsid w:val="507D70FE"/>
    <w:rsid w:val="511D18DA"/>
    <w:rsid w:val="51C668F3"/>
    <w:rsid w:val="52095C02"/>
    <w:rsid w:val="56A34BDA"/>
    <w:rsid w:val="5E731F38"/>
    <w:rsid w:val="5F993B0F"/>
    <w:rsid w:val="62FF4D6E"/>
    <w:rsid w:val="63AF5B3D"/>
    <w:rsid w:val="651E2259"/>
    <w:rsid w:val="65A40FE9"/>
    <w:rsid w:val="6C2E5D49"/>
    <w:rsid w:val="6FBD260D"/>
    <w:rsid w:val="75223045"/>
    <w:rsid w:val="78C14C97"/>
    <w:rsid w:val="7AAF2D79"/>
    <w:rsid w:val="7B242292"/>
    <w:rsid w:val="7DAF26CD"/>
    <w:rsid w:val="7DBB1A64"/>
    <w:rsid w:val="7F3D667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Body Text Indent"/>
    <w:basedOn w:val="1"/>
    <w:unhideWhenUsed/>
    <w:qFormat/>
    <w:uiPriority w:val="99"/>
    <w:pPr>
      <w:spacing w:after="120"/>
      <w:ind w:left="420" w:leftChars="200"/>
    </w:pPr>
  </w:style>
  <w:style w:type="paragraph" w:styleId="3">
    <w:name w:val="toa heading"/>
    <w:basedOn w:val="1"/>
    <w:next w:val="1"/>
    <w:qFormat/>
    <w:uiPriority w:val="0"/>
    <w:rPr>
      <w:rFonts w:ascii="Arial" w:hAnsi="Arial" w:cs="Arial"/>
      <w:sz w:val="24"/>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First Indent 2"/>
    <w:basedOn w:val="2"/>
    <w:qFormat/>
    <w:uiPriority w:val="99"/>
    <w:pPr>
      <w:ind w:firstLine="420" w:firstLineChars="200"/>
    </w:p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Strong"/>
    <w:basedOn w:val="9"/>
    <w:qFormat/>
    <w:uiPriority w:val="0"/>
    <w:rPr>
      <w:b/>
    </w:rPr>
  </w:style>
  <w:style w:type="character" w:styleId="11">
    <w:name w:val="Hyperlink"/>
    <w:basedOn w:val="9"/>
    <w:qFormat/>
    <w:uiPriority w:val="0"/>
    <w:rPr>
      <w:color w:val="0000FF"/>
      <w:u w:val="single"/>
    </w:rPr>
  </w:style>
  <w:style w:type="table" w:customStyle="1" w:styleId="12">
    <w:name w:val="Table Normal"/>
    <w:semiHidden/>
    <w:unhideWhenUsed/>
    <w:qFormat/>
    <w:uiPriority w:val="0"/>
    <w:tblPr>
      <w:tblCellMar>
        <w:top w:w="0" w:type="dxa"/>
        <w:left w:w="0" w:type="dxa"/>
        <w:bottom w:w="0" w:type="dxa"/>
        <w:right w:w="0" w:type="dxa"/>
      </w:tblCellMar>
    </w:tblPr>
  </w:style>
  <w:style w:type="paragraph" w:customStyle="1" w:styleId="13">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1420</Words>
  <Characters>1591</Characters>
  <Lines>0</Lines>
  <Paragraphs>0</Paragraphs>
  <TotalTime>7</TotalTime>
  <ScaleCrop>false</ScaleCrop>
  <LinksUpToDate>false</LinksUpToDate>
  <CharactersWithSpaces>1598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2022-01-04T02:46:00Z</dcterms:created>
  <dc:creator>山东国际会展集团</dc:creator>
  <cp:lastModifiedBy>Administrator</cp:lastModifiedBy>
  <cp:lastPrinted>2023-04-13T01:18:00Z</cp:lastPrinted>
  <dcterms:modified xsi:type="dcterms:W3CDTF">2023-04-14T01:50:37Z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9A2EE12FA229445F9A6A28562C92A8DA</vt:lpwstr>
  </property>
</Properties>
</file>