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B1C3">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山东国际会展中心商业运营有限公司山东国际会展中心员工餐厅原材料临时供应商库项目招募公告</w:t>
      </w:r>
    </w:p>
    <w:p w14:paraId="4111D08D">
      <w:pPr>
        <w:keepNext w:val="0"/>
        <w:keepLines w:val="0"/>
        <w:widowControl/>
        <w:suppressLineNumbers w:val="0"/>
        <w:jc w:val="center"/>
        <w:textAlignment w:val="center"/>
        <w:rPr>
          <w:rFonts w:hint="default" w:ascii="仿宋" w:hAnsi="仿宋" w:eastAsia="仿宋" w:cs="仿宋"/>
          <w:b/>
          <w:bCs/>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000000" w:themeColor="text1"/>
          <w:kern w:val="0"/>
          <w:sz w:val="21"/>
          <w:szCs w:val="21"/>
          <w:u w:val="none"/>
          <w:lang w:val="en-US" w:eastAsia="zh-CN" w:bidi="ar"/>
          <w14:textFill>
            <w14:solidFill>
              <w14:schemeClr w14:val="tx1"/>
            </w14:solidFill>
          </w14:textFill>
        </w:rPr>
        <w:t>2025年4月11日**时</w:t>
      </w:r>
    </w:p>
    <w:p w14:paraId="454394BA">
      <w:pPr>
        <w:pStyle w:val="7"/>
        <w:rPr>
          <w:rFonts w:hint="eastAsia"/>
          <w:lang w:val="en-US" w:eastAsia="zh-CN"/>
        </w:rPr>
      </w:pPr>
    </w:p>
    <w:p w14:paraId="71407145">
      <w:pPr>
        <w:pStyle w:val="6"/>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有限公司根据实际情况和经营管理需要，对</w:t>
      </w:r>
      <w:r>
        <w:rPr>
          <w:rFonts w:hint="eastAsia" w:ascii="仿宋" w:hAnsi="仿宋" w:eastAsia="仿宋" w:cs="仿宋"/>
          <w:color w:val="212529"/>
          <w:sz w:val="24"/>
          <w:szCs w:val="24"/>
          <w:shd w:val="clear" w:color="auto" w:fill="FFFFFF"/>
          <w:lang w:val="en-US" w:eastAsia="zh-CN"/>
        </w:rPr>
        <w:t>员工</w:t>
      </w:r>
      <w:r>
        <w:rPr>
          <w:rFonts w:hint="eastAsia" w:ascii="仿宋" w:hAnsi="仿宋" w:eastAsia="仿宋" w:cs="仿宋"/>
          <w:color w:val="212529"/>
          <w:sz w:val="24"/>
          <w:szCs w:val="24"/>
          <w:shd w:val="clear" w:color="auto" w:fill="FFFFFF"/>
          <w:lang w:eastAsia="zh-CN"/>
        </w:rPr>
        <w:t>餐厅</w:t>
      </w:r>
      <w:r>
        <w:rPr>
          <w:rFonts w:hint="eastAsia" w:ascii="仿宋" w:hAnsi="仿宋" w:eastAsia="仿宋" w:cs="仿宋"/>
          <w:color w:val="212529"/>
          <w:sz w:val="24"/>
          <w:szCs w:val="24"/>
          <w:shd w:val="clear" w:color="auto" w:fill="FFFFFF"/>
          <w:lang w:val="en-US" w:eastAsia="zh-CN"/>
        </w:rPr>
        <w:t>组建原材料临时供应商库</w:t>
      </w:r>
      <w:r>
        <w:rPr>
          <w:rFonts w:hint="eastAsia" w:ascii="仿宋" w:hAnsi="仿宋" w:eastAsia="仿宋" w:cs="仿宋"/>
          <w:color w:val="212529"/>
          <w:sz w:val="24"/>
          <w:szCs w:val="24"/>
          <w:shd w:val="clear" w:color="auto" w:fill="FFFFFF"/>
        </w:rPr>
        <w:t>，现诚邀资质合格的单位参加，请按附件列表所列明细给出相应</w:t>
      </w:r>
      <w:r>
        <w:rPr>
          <w:rFonts w:hint="eastAsia" w:ascii="仿宋" w:hAnsi="仿宋" w:eastAsia="仿宋" w:cs="仿宋"/>
          <w:color w:val="212529"/>
          <w:sz w:val="24"/>
          <w:szCs w:val="24"/>
          <w:shd w:val="clear" w:color="auto" w:fill="FFFFFF"/>
          <w:lang w:val="en-US" w:eastAsia="zh-CN"/>
        </w:rPr>
        <w:t>响应</w:t>
      </w:r>
      <w:r>
        <w:rPr>
          <w:rFonts w:hint="eastAsia" w:ascii="仿宋" w:hAnsi="仿宋" w:eastAsia="仿宋" w:cs="仿宋"/>
          <w:color w:val="212529"/>
          <w:sz w:val="24"/>
          <w:szCs w:val="24"/>
          <w:shd w:val="clear" w:color="auto" w:fill="FFFFFF"/>
        </w:rPr>
        <w:t>。</w:t>
      </w:r>
    </w:p>
    <w:p w14:paraId="64677199">
      <w:pPr>
        <w:pStyle w:val="6"/>
        <w:widowControl/>
        <w:numPr>
          <w:ilvl w:val="0"/>
          <w:numId w:val="2"/>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项目要素</w:t>
      </w:r>
    </w:p>
    <w:p w14:paraId="5EBC8488">
      <w:pPr>
        <w:keepNext w:val="0"/>
        <w:keepLines w:val="0"/>
        <w:pageBreakBefore w:val="0"/>
        <w:widowControl w:val="0"/>
        <w:numPr>
          <w:ilvl w:val="0"/>
          <w:numId w:val="3"/>
        </w:numPr>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color w:val="212529"/>
          <w:sz w:val="24"/>
          <w:szCs w:val="24"/>
          <w:shd w:val="clear" w:color="auto" w:fill="FFFFFF"/>
          <w:lang w:val="en-US" w:eastAsia="zh-CN"/>
        </w:rPr>
        <w:t>采</w:t>
      </w:r>
      <w:r>
        <w:rPr>
          <w:rFonts w:hint="eastAsia" w:ascii="仿宋" w:hAnsi="仿宋" w:eastAsia="仿宋" w:cs="仿宋"/>
          <w:sz w:val="24"/>
          <w:lang w:val="en-US" w:eastAsia="zh-CN"/>
        </w:rPr>
        <w:t>购内容：成交供应商为</w:t>
      </w:r>
      <w:r>
        <w:rPr>
          <w:rFonts w:hint="eastAsia" w:ascii="仿宋" w:hAnsi="仿宋" w:eastAsia="仿宋" w:cs="仿宋"/>
          <w:sz w:val="24"/>
        </w:rPr>
        <w:t>山东国际会展</w:t>
      </w:r>
      <w:r>
        <w:rPr>
          <w:rFonts w:hint="eastAsia" w:ascii="仿宋" w:hAnsi="仿宋" w:eastAsia="仿宋" w:cs="仿宋"/>
          <w:sz w:val="24"/>
          <w:lang w:val="en-US" w:eastAsia="zh-CN"/>
        </w:rPr>
        <w:t>中心商业运营</w:t>
      </w:r>
      <w:r>
        <w:rPr>
          <w:rFonts w:hint="eastAsia" w:ascii="仿宋" w:hAnsi="仿宋" w:eastAsia="仿宋" w:cs="仿宋"/>
          <w:sz w:val="24"/>
        </w:rPr>
        <w:t>有限公司</w:t>
      </w:r>
      <w:r>
        <w:rPr>
          <w:rFonts w:hint="eastAsia" w:ascii="仿宋" w:hAnsi="仿宋" w:eastAsia="仿宋" w:cs="仿宋"/>
          <w:sz w:val="24"/>
          <w:lang w:val="en-US" w:eastAsia="zh-CN"/>
        </w:rPr>
        <w:t>山东国际会展中心员工</w:t>
      </w:r>
      <w:r>
        <w:rPr>
          <w:rFonts w:hint="eastAsia" w:ascii="仿宋" w:hAnsi="仿宋" w:eastAsia="仿宋" w:cs="仿宋"/>
          <w:sz w:val="24"/>
          <w:lang w:eastAsia="zh-CN"/>
        </w:rPr>
        <w:t>餐厅</w:t>
      </w:r>
      <w:r>
        <w:rPr>
          <w:rFonts w:hint="eastAsia" w:ascii="仿宋" w:hAnsi="仿宋" w:eastAsia="仿宋" w:cs="仿宋"/>
          <w:sz w:val="24"/>
          <w:lang w:val="en-US" w:eastAsia="zh-CN"/>
        </w:rPr>
        <w:t>提供原材料供应服务，拟确定临时入库供应商4家，供应范围包括不限于蔬菜、水果、鸡蛋、副食、水产、调料、米面、粮油、主食、肉及肉制品。所招募供应商经综合评选后确认供应商并签订协议，服务期限拟定两个月，（实际服务截止日以商业运营公司委托山东国际会展集团有限公司签约招标代理服务单位山东易方达建设管理集团有限公司通过综合评选的方式遴选地下餐厅原材料供应商库建成时间为准），服务期满自动解约或山东国际会展中心地下餐厅原材料供应商库建成时经书面通知后解约（以先到时间为准）。</w:t>
      </w:r>
    </w:p>
    <w:p w14:paraId="73536AB2">
      <w:pPr>
        <w:pStyle w:val="6"/>
        <w:widowControl/>
        <w:numPr>
          <w:ilvl w:val="0"/>
          <w:numId w:val="0"/>
        </w:numPr>
        <w:shd w:val="clear" w:color="auto" w:fill="FFFFFF"/>
        <w:spacing w:beforeAutospacing="0" w:afterAutospacing="0" w:line="540" w:lineRule="exact"/>
        <w:ind w:left="13" w:leftChars="6" w:firstLine="439" w:firstLineChars="183"/>
        <w:jc w:val="both"/>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2、采购方式：综合评分</w:t>
      </w:r>
      <w:r>
        <w:rPr>
          <w:rFonts w:hint="eastAsia" w:ascii="仿宋" w:hAnsi="仿宋" w:eastAsia="仿宋" w:cs="仿宋"/>
          <w:sz w:val="24"/>
          <w:szCs w:val="24"/>
          <w:highlight w:val="none"/>
          <w:lang w:val="en-US" w:eastAsia="zh-CN"/>
        </w:rPr>
        <w:t>。</w:t>
      </w:r>
    </w:p>
    <w:p w14:paraId="32AFAF6F">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4A458BBB">
      <w:pPr>
        <w:keepNext w:val="0"/>
        <w:keepLines w:val="0"/>
        <w:widowControl/>
        <w:numPr>
          <w:ilvl w:val="0"/>
          <w:numId w:val="4"/>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w:t>
      </w:r>
      <w:bookmarkStart w:id="0" w:name="_GoBack"/>
      <w:bookmarkEnd w:id="0"/>
      <w:r>
        <w:rPr>
          <w:rFonts w:hint="eastAsia" w:ascii="仿宋" w:hAnsi="仿宋" w:eastAsia="仿宋" w:cs="仿宋"/>
          <w:b w:val="0"/>
          <w:bCs w:val="0"/>
          <w:i w:val="0"/>
          <w:color w:val="000000"/>
          <w:kern w:val="0"/>
          <w:sz w:val="24"/>
          <w:szCs w:val="24"/>
          <w:u w:val="none"/>
          <w:lang w:val="en-US" w:eastAsia="zh-CN" w:bidi="ar"/>
        </w:rPr>
        <w:t>在中华人民共和国境内注册；</w:t>
      </w:r>
      <w:r>
        <w:rPr>
          <w:rFonts w:hint="eastAsia" w:ascii="仿宋" w:hAnsi="仿宋" w:eastAsia="仿宋" w:cs="仿宋"/>
          <w:color w:val="auto"/>
          <w:sz w:val="24"/>
          <w:szCs w:val="24"/>
          <w:highlight w:val="none"/>
          <w:lang w:val="en-US" w:eastAsia="zh-CN"/>
        </w:rPr>
        <w:t>供应商需具备</w:t>
      </w:r>
      <w:r>
        <w:rPr>
          <w:rFonts w:hint="eastAsia" w:ascii="仿宋" w:hAnsi="仿宋" w:eastAsia="仿宋" w:cs="仿宋"/>
          <w:sz w:val="24"/>
        </w:rPr>
        <w:t>合法提供</w:t>
      </w:r>
      <w:r>
        <w:rPr>
          <w:rFonts w:hint="eastAsia" w:ascii="仿宋" w:hAnsi="仿宋" w:eastAsia="仿宋" w:cs="仿宋"/>
          <w:sz w:val="24"/>
          <w:lang w:val="en-US" w:eastAsia="zh-CN"/>
        </w:rPr>
        <w:t>招募</w:t>
      </w:r>
      <w:r>
        <w:rPr>
          <w:rFonts w:hint="eastAsia" w:ascii="仿宋" w:hAnsi="仿宋" w:eastAsia="仿宋" w:cs="仿宋"/>
          <w:sz w:val="24"/>
        </w:rPr>
        <w:t>内容及其相应的服务</w:t>
      </w:r>
      <w:r>
        <w:rPr>
          <w:rFonts w:hint="eastAsia" w:ascii="仿宋" w:hAnsi="仿宋" w:eastAsia="仿宋" w:cs="仿宋"/>
          <w:color w:val="auto"/>
          <w:sz w:val="24"/>
          <w:szCs w:val="24"/>
          <w:highlight w:val="none"/>
          <w:lang w:val="en-US" w:eastAsia="zh-CN"/>
        </w:rPr>
        <w:t>业务能力和资格证明。</w:t>
      </w:r>
    </w:p>
    <w:p w14:paraId="393084BD">
      <w:pPr>
        <w:keepNext w:val="0"/>
        <w:keepLines w:val="0"/>
        <w:widowControl/>
        <w:numPr>
          <w:ilvl w:val="0"/>
          <w:numId w:val="4"/>
        </w:numPr>
        <w:suppressLineNumbers w:val="0"/>
        <w:spacing w:line="360" w:lineRule="auto"/>
        <w:ind w:left="0" w:leftChars="0" w:firstLine="480" w:firstLineChars="200"/>
        <w:jc w:val="both"/>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各单位需通过“信用中国”网（http：//www.creditchina.gov.cn）、中国政府采购网（http：//www.ccgp.gov.cn）和国家企业信用信息公示系统（https：//www.gsxt.gov.cn/index.html）查询信用记录，并打印网站查询结果的截图。</w:t>
      </w:r>
    </w:p>
    <w:p w14:paraId="1AB06D83">
      <w:pPr>
        <w:keepNext w:val="0"/>
        <w:keepLines w:val="0"/>
        <w:widowControl/>
        <w:numPr>
          <w:ilvl w:val="0"/>
          <w:numId w:val="4"/>
        </w:numPr>
        <w:suppressLineNumbers w:val="0"/>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74014F45">
      <w:pPr>
        <w:pStyle w:val="6"/>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、要求及回传方式</w:t>
      </w:r>
    </w:p>
    <w:p w14:paraId="403030A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（一）要求</w:t>
      </w:r>
    </w:p>
    <w:p w14:paraId="7BED2F8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1、按项目综合评选细则准备响应文件。</w:t>
      </w:r>
    </w:p>
    <w:p w14:paraId="78C64AD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highlight w:val="yellow"/>
          <w:u w:val="none"/>
          <w:lang w:val="en-US" w:eastAsia="zh-CN" w:bidi="ar"/>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highlight w:val="none"/>
          <w:u w:val="none"/>
          <w:lang w:val="en-US" w:eastAsia="zh-CN" w:bidi="ar"/>
        </w:rPr>
        <w:t>响应文件，</w:t>
      </w:r>
      <w:r>
        <w:rPr>
          <w:rFonts w:hint="eastAsia" w:ascii="仿宋" w:hAnsi="仿宋" w:eastAsia="仿宋" w:cs="仿宋"/>
          <w:b/>
          <w:bCs/>
          <w:i w:val="0"/>
          <w:color w:val="000000"/>
          <w:kern w:val="0"/>
          <w:sz w:val="24"/>
          <w:szCs w:val="24"/>
          <w:highlight w:val="none"/>
          <w:u w:val="none"/>
          <w:lang w:val="en-US" w:eastAsia="zh-CN" w:bidi="ar"/>
        </w:rPr>
        <w:t>可按照实际情况扩展</w:t>
      </w:r>
      <w:r>
        <w:rPr>
          <w:rFonts w:hint="eastAsia" w:ascii="仿宋" w:hAnsi="仿宋" w:eastAsia="仿宋" w:cs="仿宋"/>
          <w:i w:val="0"/>
          <w:color w:val="000000"/>
          <w:kern w:val="0"/>
          <w:sz w:val="24"/>
          <w:szCs w:val="24"/>
          <w:highlight w:val="none"/>
          <w:u w:val="none"/>
          <w:lang w:val="en-US" w:eastAsia="zh-CN" w:bidi="ar"/>
        </w:rPr>
        <w:t>。</w:t>
      </w:r>
    </w:p>
    <w:p w14:paraId="69DAFE8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97AD7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5F5501E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49FF58AF">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4</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月15日16时截止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收件人：张老师  电话18963064520 （注：1、快件外部请写明项目名称，例：地下餐厅劳务外包服务项目。2、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7A845A3D">
      <w:pPr>
        <w:pStyle w:val="7"/>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如有疑问请联系，项目技术问题咨询：</w:t>
      </w:r>
      <w:r>
        <w:rPr>
          <w:rFonts w:hint="eastAsia" w:ascii="仿宋" w:hAnsi="仿宋" w:eastAsia="仿宋" w:cs="仿宋"/>
          <w:color w:val="auto"/>
          <w:sz w:val="24"/>
          <w:szCs w:val="32"/>
          <w:lang w:val="en-US" w:eastAsia="zh-CN"/>
        </w:rPr>
        <w:t>18963064520</w:t>
      </w:r>
      <w:r>
        <w:rPr>
          <w:rFonts w:hint="eastAsia" w:ascii="仿宋" w:hAnsi="仿宋" w:eastAsia="仿宋" w:cs="仿宋"/>
          <w:sz w:val="24"/>
          <w:szCs w:val="32"/>
          <w:lang w:val="en-US" w:eastAsia="zh-CN"/>
        </w:rPr>
        <w:t>；项目流程咨询：0531-81255925。</w:t>
      </w:r>
    </w:p>
    <w:p w14:paraId="0E395CBD">
      <w:pPr>
        <w:pStyle w:val="6"/>
        <w:widowControl/>
        <w:numPr>
          <w:ilvl w:val="0"/>
          <w:numId w:val="0"/>
        </w:numPr>
        <w:shd w:val="clear" w:color="auto" w:fill="FFFFFF"/>
        <w:spacing w:beforeAutospacing="0" w:afterAutospacing="0" w:line="540" w:lineRule="exact"/>
        <w:ind w:left="281" w:leftChars="0" w:firstLine="281" w:firstLineChars="100"/>
        <w:jc w:val="both"/>
        <w:rPr>
          <w:rFonts w:hint="default"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五、评分标准</w:t>
      </w:r>
    </w:p>
    <w:p w14:paraId="3361595E">
      <w:pPr>
        <w:pStyle w:val="6"/>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14:paraId="4D802422">
      <w:pPr>
        <w:pStyle w:val="6"/>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14:paraId="2BC02ADF">
      <w:pPr>
        <w:pStyle w:val="6"/>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4244A805">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5DAD3B00">
      <w:pPr>
        <w:pStyle w:val="2"/>
        <w:rPr>
          <w:rFonts w:hint="default" w:ascii="仿宋_GB2312" w:eastAsia="仿宋_GB2312" w:cstheme="minorBidi"/>
          <w:sz w:val="32"/>
          <w:szCs w:val="32"/>
          <w:lang w:val="en-US" w:eastAsia="zh-CN"/>
        </w:rPr>
      </w:pPr>
      <w:r>
        <w:rPr>
          <w:rFonts w:hint="eastAsia" w:ascii="仿宋_GB2312" w:eastAsia="仿宋_GB2312" w:cstheme="minorBidi"/>
          <w:sz w:val="32"/>
          <w:szCs w:val="32"/>
          <w:lang w:val="en-US" w:eastAsia="zh-CN"/>
        </w:rPr>
        <w:t>评分标准</w:t>
      </w:r>
    </w:p>
    <w:tbl>
      <w:tblPr>
        <w:tblStyle w:val="9"/>
        <w:tblW w:w="52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313"/>
        <w:gridCol w:w="792"/>
        <w:gridCol w:w="6344"/>
      </w:tblGrid>
      <w:tr w14:paraId="2FAB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5000" w:type="pct"/>
            <w:gridSpan w:val="4"/>
            <w:noWrap w:val="0"/>
            <w:vAlign w:val="center"/>
          </w:tcPr>
          <w:p w14:paraId="69BC8767">
            <w:pPr>
              <w:snapToGrid w:val="0"/>
              <w:jc w:val="center"/>
              <w:rPr>
                <w:rFonts w:ascii="微软雅黑" w:hAnsi="微软雅黑" w:eastAsia="微软雅黑"/>
              </w:rPr>
            </w:pPr>
            <w:r>
              <w:rPr>
                <w:rFonts w:hint="eastAsia" w:ascii="方正小标宋简体" w:hAnsi="方正小标宋简体" w:eastAsia="方正小标宋简体" w:cs="方正小标宋简体"/>
                <w:sz w:val="32"/>
                <w:szCs w:val="40"/>
                <w:lang w:val="en-US" w:eastAsia="zh-CN"/>
              </w:rPr>
              <w:t>山东国际会展中心员工餐厅原材料供应</w:t>
            </w:r>
            <w:r>
              <w:rPr>
                <w:rFonts w:hint="eastAsia" w:ascii="方正小标宋简体" w:hAnsi="方正小标宋简体" w:eastAsia="方正小标宋简体" w:cs="方正小标宋简体"/>
                <w:sz w:val="32"/>
                <w:szCs w:val="40"/>
              </w:rPr>
              <w:t>商招募项目一综合评分表</w:t>
            </w:r>
          </w:p>
        </w:tc>
      </w:tr>
      <w:tr w14:paraId="7352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24" w:type="pct"/>
            <w:noWrap w:val="0"/>
            <w:vAlign w:val="center"/>
          </w:tcPr>
          <w:p w14:paraId="4105C47C">
            <w:pPr>
              <w:snapToGrid w:val="0"/>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rPr>
              <w:t>序号</w:t>
            </w:r>
          </w:p>
        </w:tc>
        <w:tc>
          <w:tcPr>
            <w:tcW w:w="711" w:type="pct"/>
            <w:noWrap w:val="0"/>
            <w:vAlign w:val="center"/>
          </w:tcPr>
          <w:p w14:paraId="1974110B">
            <w:pPr>
              <w:snapToGrid w:val="0"/>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rPr>
              <w:t>评审因素</w:t>
            </w:r>
          </w:p>
        </w:tc>
        <w:tc>
          <w:tcPr>
            <w:tcW w:w="429" w:type="pct"/>
            <w:noWrap w:val="0"/>
            <w:vAlign w:val="center"/>
          </w:tcPr>
          <w:p w14:paraId="7A58234E">
            <w:pPr>
              <w:snapToGrid w:val="0"/>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rPr>
              <w:t>分值</w:t>
            </w:r>
          </w:p>
        </w:tc>
        <w:tc>
          <w:tcPr>
            <w:tcW w:w="3435" w:type="pct"/>
            <w:noWrap w:val="0"/>
            <w:vAlign w:val="center"/>
          </w:tcPr>
          <w:p w14:paraId="125DDD36">
            <w:pPr>
              <w:snapToGrid w:val="0"/>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rPr>
              <w:t>评审标准</w:t>
            </w:r>
          </w:p>
        </w:tc>
      </w:tr>
      <w:tr w14:paraId="5E17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424" w:type="pct"/>
            <w:noWrap w:val="0"/>
            <w:vAlign w:val="center"/>
          </w:tcPr>
          <w:p w14:paraId="1659CFBD">
            <w:pPr>
              <w:snapToGrid w:val="0"/>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rPr>
              <w:t>1</w:t>
            </w:r>
          </w:p>
        </w:tc>
        <w:tc>
          <w:tcPr>
            <w:tcW w:w="711" w:type="pct"/>
            <w:noWrap w:val="0"/>
            <w:vAlign w:val="center"/>
          </w:tcPr>
          <w:p w14:paraId="3AD5841E">
            <w:pPr>
              <w:snapToGrid w:val="0"/>
              <w:jc w:val="cente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配送方案</w:t>
            </w:r>
          </w:p>
        </w:tc>
        <w:tc>
          <w:tcPr>
            <w:tcW w:w="429" w:type="pct"/>
            <w:noWrap w:val="0"/>
            <w:vAlign w:val="center"/>
          </w:tcPr>
          <w:p w14:paraId="3F44EA8E">
            <w:pPr>
              <w:snapToGrid w:val="0"/>
              <w:jc w:val="cente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50</w:t>
            </w:r>
          </w:p>
        </w:tc>
        <w:tc>
          <w:tcPr>
            <w:tcW w:w="3435" w:type="pct"/>
            <w:noWrap w:val="0"/>
            <w:vAlign w:val="top"/>
          </w:tcPr>
          <w:p w14:paraId="447286AB">
            <w:pPr>
              <w:snapToGrid w:val="0"/>
              <w:rPr>
                <w:rFonts w:hint="eastAsia" w:ascii="微软雅黑" w:hAnsi="微软雅黑" w:eastAsia="微软雅黑" w:cs="微软雅黑"/>
                <w:sz w:val="24"/>
                <w:szCs w:val="32"/>
              </w:rPr>
            </w:pPr>
            <w:r>
              <w:rPr>
                <w:rFonts w:hint="eastAsia" w:ascii="微软雅黑" w:hAnsi="微软雅黑" w:eastAsia="微软雅黑" w:cs="微软雅黑"/>
                <w:sz w:val="24"/>
                <w:szCs w:val="32"/>
              </w:rPr>
              <w:t>1、具有完善的供货组织实施方案，供货、配送等供货计划内容完整，符合项目需求，1-</w:t>
            </w:r>
            <w:r>
              <w:rPr>
                <w:rFonts w:hint="eastAsia" w:ascii="微软雅黑" w:hAnsi="微软雅黑" w:eastAsia="微软雅黑" w:cs="微软雅黑"/>
                <w:sz w:val="24"/>
                <w:szCs w:val="32"/>
                <w:lang w:val="en-US" w:eastAsia="zh-CN"/>
              </w:rPr>
              <w:t>25</w:t>
            </w:r>
            <w:r>
              <w:rPr>
                <w:rFonts w:hint="eastAsia" w:ascii="微软雅黑" w:hAnsi="微软雅黑" w:eastAsia="微软雅黑" w:cs="微软雅黑"/>
                <w:sz w:val="24"/>
                <w:szCs w:val="32"/>
              </w:rPr>
              <w:t>分，缺项不得分；</w:t>
            </w:r>
          </w:p>
          <w:p w14:paraId="7A328B1E">
            <w:pPr>
              <w:snapToGrid w:val="0"/>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2、有针对本项目的冷冻、保鲜方案、技术保障措施，1-</w:t>
            </w:r>
            <w:r>
              <w:rPr>
                <w:rFonts w:hint="eastAsia" w:ascii="微软雅黑" w:hAnsi="微软雅黑" w:eastAsia="微软雅黑" w:cs="微软雅黑"/>
                <w:sz w:val="24"/>
                <w:szCs w:val="32"/>
                <w:lang w:val="en-US" w:eastAsia="zh-CN"/>
              </w:rPr>
              <w:t>25</w:t>
            </w:r>
            <w:r>
              <w:rPr>
                <w:rFonts w:hint="eastAsia" w:ascii="微软雅黑" w:hAnsi="微软雅黑" w:eastAsia="微软雅黑" w:cs="微软雅黑"/>
                <w:sz w:val="24"/>
                <w:szCs w:val="32"/>
              </w:rPr>
              <w:t>分，缺项不得分</w:t>
            </w:r>
            <w:r>
              <w:rPr>
                <w:rFonts w:hint="eastAsia" w:ascii="微软雅黑" w:hAnsi="微软雅黑" w:eastAsia="微软雅黑" w:cs="微软雅黑"/>
                <w:sz w:val="24"/>
                <w:szCs w:val="32"/>
                <w:lang w:eastAsia="zh-CN"/>
              </w:rPr>
              <w:t>。</w:t>
            </w:r>
          </w:p>
        </w:tc>
      </w:tr>
      <w:tr w14:paraId="2B3A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424" w:type="pct"/>
            <w:noWrap w:val="0"/>
            <w:vAlign w:val="center"/>
          </w:tcPr>
          <w:p w14:paraId="338A11FF">
            <w:pPr>
              <w:snapToGrid w:val="0"/>
              <w:jc w:val="cente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lang w:val="en-US" w:eastAsia="zh-CN"/>
              </w:rPr>
              <w:t>2</w:t>
            </w:r>
          </w:p>
        </w:tc>
        <w:tc>
          <w:tcPr>
            <w:tcW w:w="711" w:type="pct"/>
            <w:noWrap w:val="0"/>
            <w:vAlign w:val="center"/>
          </w:tcPr>
          <w:p w14:paraId="2A78DDEF">
            <w:pPr>
              <w:snapToGrid w:val="0"/>
              <w:jc w:val="center"/>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sz w:val="24"/>
                <w:szCs w:val="32"/>
                <w:lang w:val="en-US" w:eastAsia="zh-CN"/>
              </w:rPr>
              <w:t>售后服务</w:t>
            </w:r>
          </w:p>
        </w:tc>
        <w:tc>
          <w:tcPr>
            <w:tcW w:w="429" w:type="pct"/>
            <w:noWrap w:val="0"/>
            <w:vAlign w:val="center"/>
          </w:tcPr>
          <w:p w14:paraId="75942C3A">
            <w:pPr>
              <w:snapToGrid w:val="0"/>
              <w:jc w:val="center"/>
              <w:rPr>
                <w:rFonts w:hint="default" w:ascii="微软雅黑" w:hAnsi="微软雅黑" w:eastAsia="微软雅黑" w:cs="微软雅黑"/>
                <w:kern w:val="2"/>
                <w:sz w:val="24"/>
                <w:szCs w:val="32"/>
                <w:lang w:val="en-US" w:eastAsia="zh-CN" w:bidi="ar-SA"/>
              </w:rPr>
            </w:pPr>
            <w:r>
              <w:rPr>
                <w:rFonts w:hint="eastAsia" w:ascii="微软雅黑" w:hAnsi="微软雅黑" w:eastAsia="微软雅黑" w:cs="微软雅黑"/>
                <w:sz w:val="24"/>
                <w:szCs w:val="32"/>
                <w:lang w:val="en-US" w:eastAsia="zh-CN"/>
              </w:rPr>
              <w:t>30</w:t>
            </w:r>
          </w:p>
        </w:tc>
        <w:tc>
          <w:tcPr>
            <w:tcW w:w="3435" w:type="pct"/>
            <w:noWrap w:val="0"/>
            <w:vAlign w:val="top"/>
          </w:tcPr>
          <w:p w14:paraId="0C54DF96">
            <w:pPr>
              <w:snapToGrid w:val="0"/>
              <w:rPr>
                <w:rFonts w:hint="eastAsia" w:ascii="微软雅黑" w:hAnsi="微软雅黑" w:eastAsia="微软雅黑" w:cs="微软雅黑"/>
                <w:sz w:val="24"/>
                <w:szCs w:val="32"/>
              </w:rPr>
            </w:pPr>
            <w:r>
              <w:rPr>
                <w:rFonts w:hint="eastAsia" w:ascii="微软雅黑" w:hAnsi="微软雅黑" w:eastAsia="微软雅黑" w:cs="微软雅黑"/>
                <w:sz w:val="24"/>
                <w:szCs w:val="32"/>
              </w:rPr>
              <w:t>1、根据参选人提供的供货时间、质量保证措施评审得0-</w:t>
            </w:r>
            <w:r>
              <w:rPr>
                <w:rFonts w:hint="eastAsia" w:ascii="微软雅黑" w:hAnsi="微软雅黑" w:eastAsia="微软雅黑" w:cs="微软雅黑"/>
                <w:sz w:val="24"/>
                <w:szCs w:val="32"/>
                <w:lang w:val="en-US" w:eastAsia="zh-CN"/>
              </w:rPr>
              <w:t>10</w:t>
            </w:r>
            <w:r>
              <w:rPr>
                <w:rFonts w:hint="eastAsia" w:ascii="微软雅黑" w:hAnsi="微软雅黑" w:eastAsia="微软雅黑" w:cs="微软雅黑"/>
                <w:sz w:val="24"/>
                <w:szCs w:val="32"/>
              </w:rPr>
              <w:t>分，缺项不得分；</w:t>
            </w:r>
          </w:p>
          <w:p w14:paraId="0CC3711C">
            <w:pPr>
              <w:snapToGrid w:val="0"/>
              <w:rPr>
                <w:rFonts w:hint="eastAsia" w:ascii="微软雅黑" w:hAnsi="微软雅黑" w:eastAsia="微软雅黑" w:cs="微软雅黑"/>
                <w:sz w:val="24"/>
                <w:szCs w:val="32"/>
              </w:rPr>
            </w:pPr>
            <w:r>
              <w:rPr>
                <w:rFonts w:hint="eastAsia" w:ascii="微软雅黑" w:hAnsi="微软雅黑" w:eastAsia="微软雅黑" w:cs="微软雅黑"/>
                <w:sz w:val="24"/>
                <w:szCs w:val="32"/>
              </w:rPr>
              <w:t>2、根据参选人提供的退换货响应时间综合评价评审得0-</w:t>
            </w:r>
            <w:r>
              <w:rPr>
                <w:rFonts w:hint="eastAsia" w:ascii="微软雅黑" w:hAnsi="微软雅黑" w:eastAsia="微软雅黑" w:cs="微软雅黑"/>
                <w:sz w:val="24"/>
                <w:szCs w:val="32"/>
                <w:lang w:val="en-US" w:eastAsia="zh-CN"/>
              </w:rPr>
              <w:t>10</w:t>
            </w:r>
            <w:r>
              <w:rPr>
                <w:rFonts w:hint="eastAsia" w:ascii="微软雅黑" w:hAnsi="微软雅黑" w:eastAsia="微软雅黑" w:cs="微软雅黑"/>
                <w:sz w:val="24"/>
                <w:szCs w:val="32"/>
              </w:rPr>
              <w:t>分，缺项不得分；</w:t>
            </w:r>
          </w:p>
          <w:p w14:paraId="6E98B1E4">
            <w:pPr>
              <w:snapToGrid w:val="0"/>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3、根据参选人提供的问题处置制度进行综合评定（包括但不限于紧急事件处理、事件后续问题处理、投诉解决方案等），得0-</w:t>
            </w:r>
            <w:r>
              <w:rPr>
                <w:rFonts w:hint="eastAsia" w:ascii="微软雅黑" w:hAnsi="微软雅黑" w:eastAsia="微软雅黑" w:cs="微软雅黑"/>
                <w:sz w:val="24"/>
                <w:szCs w:val="32"/>
                <w:lang w:val="en-US" w:eastAsia="zh-CN"/>
              </w:rPr>
              <w:t>10</w:t>
            </w:r>
            <w:r>
              <w:rPr>
                <w:rFonts w:hint="eastAsia" w:ascii="微软雅黑" w:hAnsi="微软雅黑" w:eastAsia="微软雅黑" w:cs="微软雅黑"/>
                <w:sz w:val="24"/>
                <w:szCs w:val="32"/>
              </w:rPr>
              <w:t>分，缺项不得分。</w:t>
            </w:r>
          </w:p>
        </w:tc>
      </w:tr>
      <w:tr w14:paraId="26C2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24" w:type="pct"/>
            <w:noWrap w:val="0"/>
            <w:vAlign w:val="center"/>
          </w:tcPr>
          <w:p w14:paraId="78ABAD89">
            <w:pPr>
              <w:snapToGrid w:val="0"/>
              <w:jc w:val="cente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lang w:val="en-US" w:eastAsia="zh-CN"/>
              </w:rPr>
              <w:t>3</w:t>
            </w:r>
          </w:p>
        </w:tc>
        <w:tc>
          <w:tcPr>
            <w:tcW w:w="711" w:type="pct"/>
            <w:noWrap w:val="0"/>
            <w:vAlign w:val="center"/>
          </w:tcPr>
          <w:p w14:paraId="24306649">
            <w:pPr>
              <w:snapToGrid w:val="0"/>
              <w:jc w:val="center"/>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sz w:val="24"/>
                <w:szCs w:val="32"/>
              </w:rPr>
              <w:t>类似业绩</w:t>
            </w:r>
          </w:p>
        </w:tc>
        <w:tc>
          <w:tcPr>
            <w:tcW w:w="429" w:type="pct"/>
            <w:noWrap w:val="0"/>
            <w:vAlign w:val="center"/>
          </w:tcPr>
          <w:p w14:paraId="548FA079">
            <w:pPr>
              <w:snapToGrid w:val="0"/>
              <w:jc w:val="center"/>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sz w:val="24"/>
                <w:szCs w:val="32"/>
              </w:rPr>
              <w:t>10</w:t>
            </w:r>
          </w:p>
        </w:tc>
        <w:tc>
          <w:tcPr>
            <w:tcW w:w="3435" w:type="pct"/>
            <w:noWrap w:val="0"/>
            <w:vAlign w:val="top"/>
          </w:tcPr>
          <w:p w14:paraId="6F84AE22">
            <w:pPr>
              <w:snapToGrid w:val="0"/>
              <w:rPr>
                <w:rFonts w:hint="eastAsia" w:ascii="微软雅黑" w:hAnsi="微软雅黑" w:eastAsia="微软雅黑" w:cs="微软雅黑"/>
                <w:kern w:val="2"/>
                <w:sz w:val="24"/>
                <w:szCs w:val="32"/>
                <w:lang w:val="en-US" w:eastAsia="zh-CN" w:bidi="ar-SA"/>
              </w:rPr>
            </w:pPr>
            <w:r>
              <w:rPr>
                <w:rFonts w:hint="eastAsia" w:ascii="微软雅黑" w:hAnsi="微软雅黑" w:eastAsia="微软雅黑" w:cs="微软雅黑"/>
                <w:sz w:val="24"/>
                <w:szCs w:val="32"/>
              </w:rPr>
              <w:t>以参与本项目的企业近三年的类似业绩为评比标准，提供三份及以上类似业绩得 10 分，每缺一项扣2分。</w:t>
            </w:r>
          </w:p>
        </w:tc>
      </w:tr>
      <w:tr w14:paraId="1810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24" w:type="pct"/>
            <w:noWrap w:val="0"/>
            <w:vAlign w:val="center"/>
          </w:tcPr>
          <w:p w14:paraId="20339314">
            <w:pPr>
              <w:snapToGrid w:val="0"/>
              <w:jc w:val="cente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lang w:val="en-US" w:eastAsia="zh-CN"/>
              </w:rPr>
              <w:t>4</w:t>
            </w:r>
          </w:p>
        </w:tc>
        <w:tc>
          <w:tcPr>
            <w:tcW w:w="711" w:type="pct"/>
            <w:noWrap w:val="0"/>
            <w:vAlign w:val="center"/>
          </w:tcPr>
          <w:p w14:paraId="3E0B4F2D">
            <w:pPr>
              <w:snapToGrid w:val="0"/>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highlight w:val="none"/>
              </w:rPr>
              <w:t>企业资质</w:t>
            </w:r>
          </w:p>
        </w:tc>
        <w:tc>
          <w:tcPr>
            <w:tcW w:w="429" w:type="pct"/>
            <w:noWrap w:val="0"/>
            <w:vAlign w:val="center"/>
          </w:tcPr>
          <w:p w14:paraId="2334E5C1">
            <w:pPr>
              <w:snapToGrid w:val="0"/>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rPr>
              <w:t>10</w:t>
            </w:r>
          </w:p>
        </w:tc>
        <w:tc>
          <w:tcPr>
            <w:tcW w:w="3435" w:type="pct"/>
            <w:noWrap w:val="0"/>
            <w:vAlign w:val="top"/>
          </w:tcPr>
          <w:p w14:paraId="05428D1C">
            <w:pPr>
              <w:snapToGrid w:val="0"/>
              <w:rPr>
                <w:rFonts w:hint="default" w:eastAsia="微软雅黑"/>
                <w:lang w:val="en-US" w:eastAsia="zh-CN"/>
              </w:rPr>
            </w:pPr>
            <w:r>
              <w:rPr>
                <w:rFonts w:hint="eastAsia" w:ascii="微软雅黑" w:hAnsi="微软雅黑" w:eastAsia="微软雅黑" w:cs="微软雅黑"/>
                <w:sz w:val="24"/>
                <w:szCs w:val="32"/>
                <w:lang w:val="en-US" w:eastAsia="zh-CN"/>
              </w:rPr>
              <w:t>提供</w:t>
            </w:r>
            <w:r>
              <w:rPr>
                <w:rFonts w:hint="eastAsia" w:ascii="微软雅黑" w:hAnsi="微软雅黑" w:eastAsia="微软雅黑" w:cs="微软雅黑"/>
                <w:sz w:val="24"/>
                <w:szCs w:val="32"/>
              </w:rPr>
              <w:t>参与本项目企业的资质证明文件营业执照、纳税证明、征信证明</w:t>
            </w:r>
            <w:r>
              <w:rPr>
                <w:rFonts w:hint="eastAsia" w:ascii="微软雅黑" w:hAnsi="微软雅黑" w:eastAsia="微软雅黑" w:cs="微软雅黑"/>
                <w:kern w:val="2"/>
                <w:sz w:val="24"/>
                <w:szCs w:val="32"/>
                <w:lang w:val="en-US" w:eastAsia="zh-CN" w:bidi="ar-SA"/>
              </w:rPr>
              <w:t>。材料</w:t>
            </w:r>
            <w:r>
              <w:rPr>
                <w:rFonts w:hint="eastAsia" w:ascii="微软雅黑" w:hAnsi="微软雅黑" w:eastAsia="微软雅黑" w:cs="微软雅黑"/>
                <w:sz w:val="24"/>
                <w:szCs w:val="32"/>
              </w:rPr>
              <w:t>齐全得 10 分，文件每缺一项扣 2分。</w:t>
            </w:r>
          </w:p>
        </w:tc>
      </w:tr>
      <w:tr w14:paraId="22A8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24" w:type="pct"/>
            <w:noWrap w:val="0"/>
            <w:vAlign w:val="top"/>
          </w:tcPr>
          <w:p w14:paraId="4834A13E">
            <w:pPr>
              <w:snapToGrid w:val="0"/>
              <w:rPr>
                <w:rFonts w:hint="eastAsia" w:ascii="微软雅黑" w:hAnsi="微软雅黑" w:eastAsia="微软雅黑" w:cs="微软雅黑"/>
                <w:sz w:val="24"/>
                <w:szCs w:val="32"/>
              </w:rPr>
            </w:pPr>
          </w:p>
        </w:tc>
        <w:tc>
          <w:tcPr>
            <w:tcW w:w="711" w:type="pct"/>
            <w:noWrap w:val="0"/>
            <w:vAlign w:val="top"/>
          </w:tcPr>
          <w:p w14:paraId="3E3A8025">
            <w:pPr>
              <w:snapToGrid w:val="0"/>
              <w:jc w:val="center"/>
              <w:rPr>
                <w:rFonts w:hint="eastAsia" w:ascii="微软雅黑" w:hAnsi="微软雅黑" w:eastAsia="微软雅黑" w:cs="微软雅黑"/>
                <w:sz w:val="24"/>
                <w:szCs w:val="32"/>
              </w:rPr>
            </w:pPr>
          </w:p>
        </w:tc>
        <w:tc>
          <w:tcPr>
            <w:tcW w:w="429" w:type="pct"/>
            <w:noWrap w:val="0"/>
            <w:vAlign w:val="top"/>
          </w:tcPr>
          <w:p w14:paraId="47906AE4">
            <w:pPr>
              <w:snapToGrid w:val="0"/>
              <w:jc w:val="center"/>
              <w:rPr>
                <w:rFonts w:hint="eastAsia" w:ascii="微软雅黑" w:hAnsi="微软雅黑" w:eastAsia="微软雅黑" w:cs="微软雅黑"/>
                <w:sz w:val="24"/>
                <w:szCs w:val="32"/>
              </w:rPr>
            </w:pPr>
            <w:r>
              <w:rPr>
                <w:rFonts w:hint="eastAsia" w:ascii="微软雅黑" w:hAnsi="微软雅黑" w:eastAsia="微软雅黑" w:cs="微软雅黑"/>
                <w:sz w:val="24"/>
                <w:szCs w:val="32"/>
              </w:rPr>
              <w:t>100</w:t>
            </w:r>
          </w:p>
        </w:tc>
        <w:tc>
          <w:tcPr>
            <w:tcW w:w="3435" w:type="pct"/>
            <w:noWrap w:val="0"/>
            <w:vAlign w:val="top"/>
          </w:tcPr>
          <w:p w14:paraId="71119F23">
            <w:pPr>
              <w:snapToGrid w:val="0"/>
              <w:rPr>
                <w:rFonts w:hint="eastAsia" w:ascii="微软雅黑" w:hAnsi="微软雅黑" w:eastAsia="微软雅黑" w:cs="微软雅黑"/>
                <w:sz w:val="24"/>
                <w:szCs w:val="32"/>
              </w:rPr>
            </w:pPr>
          </w:p>
        </w:tc>
      </w:tr>
    </w:tbl>
    <w:p w14:paraId="39912900">
      <w:pPr>
        <w:pStyle w:val="2"/>
        <w:rPr>
          <w:rFonts w:hint="eastAsia" w:ascii="仿宋_GB2312" w:eastAsia="仿宋_GB2312" w:cstheme="minorBidi"/>
          <w:sz w:val="32"/>
          <w:szCs w:val="32"/>
          <w:lang w:val="en-US" w:eastAsia="zh-CN"/>
        </w:rPr>
      </w:pPr>
    </w:p>
    <w:p w14:paraId="778FA350">
      <w:pPr>
        <w:pStyle w:val="5"/>
        <w:spacing w:line="240" w:lineRule="auto"/>
        <w:ind w:left="0" w:leftChars="0" w:firstLine="0" w:firstLineChars="0"/>
        <w:jc w:val="left"/>
      </w:pPr>
    </w:p>
    <w:sectPr>
      <w:pgSz w:w="11906" w:h="16838"/>
      <w:pgMar w:top="1738" w:right="1800" w:bottom="1440" w:left="16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0717D"/>
    <w:multiLevelType w:val="singleLevel"/>
    <w:tmpl w:val="AF40717D"/>
    <w:lvl w:ilvl="0" w:tentative="0">
      <w:start w:val="1"/>
      <w:numFmt w:val="decimal"/>
      <w:suff w:val="nothing"/>
      <w:lvlText w:val="%1、"/>
      <w:lvlJc w:val="left"/>
    </w:lvl>
  </w:abstractNum>
  <w:abstractNum w:abstractNumId="1">
    <w:nsid w:val="B307B17B"/>
    <w:multiLevelType w:val="singleLevel"/>
    <w:tmpl w:val="B307B17B"/>
    <w:lvl w:ilvl="0" w:tentative="0">
      <w:start w:val="1"/>
      <w:numFmt w:val="bullet"/>
      <w:pStyle w:val="4"/>
      <w:lvlText w:val=""/>
      <w:lvlJc w:val="left"/>
      <w:pPr>
        <w:tabs>
          <w:tab w:val="left" w:pos="360"/>
        </w:tabs>
        <w:ind w:left="360" w:hanging="360"/>
      </w:pPr>
      <w:rPr>
        <w:rFonts w:hint="default" w:ascii="Wingdings" w:hAnsi="Wingdings"/>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60F4ADB"/>
    <w:rsid w:val="08D25611"/>
    <w:rsid w:val="0C0A2844"/>
    <w:rsid w:val="11AC3C3C"/>
    <w:rsid w:val="16991466"/>
    <w:rsid w:val="1E4F68CC"/>
    <w:rsid w:val="1FA60586"/>
    <w:rsid w:val="22750C51"/>
    <w:rsid w:val="28415CE6"/>
    <w:rsid w:val="29072A1A"/>
    <w:rsid w:val="2B8002EC"/>
    <w:rsid w:val="2B9A79D5"/>
    <w:rsid w:val="34CC4556"/>
    <w:rsid w:val="38E370C9"/>
    <w:rsid w:val="3C03014E"/>
    <w:rsid w:val="406F6410"/>
    <w:rsid w:val="53001845"/>
    <w:rsid w:val="68760E9A"/>
    <w:rsid w:val="69F555DB"/>
    <w:rsid w:val="6C8D51A5"/>
    <w:rsid w:val="6EF82FA2"/>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Normal Indent"/>
    <w:basedOn w:val="1"/>
    <w:unhideWhenUsed/>
    <w:qFormat/>
    <w:uiPriority w:val="99"/>
    <w:pPr>
      <w:ind w:firstLine="420" w:firstLineChars="200"/>
    </w:pPr>
  </w:style>
  <w:style w:type="paragraph" w:styleId="4">
    <w:name w:val="List Bullet"/>
    <w:basedOn w:val="1"/>
    <w:qFormat/>
    <w:uiPriority w:val="0"/>
    <w:pPr>
      <w:numPr>
        <w:ilvl w:val="0"/>
        <w:numId w:val="1"/>
      </w:numPr>
    </w:pPr>
  </w:style>
  <w:style w:type="paragraph" w:styleId="5">
    <w:name w:val="Body Text Indent"/>
    <w:basedOn w:val="1"/>
    <w:qFormat/>
    <w:uiPriority w:val="99"/>
    <w:pPr>
      <w:spacing w:after="120"/>
      <w:ind w:left="420" w:leftChars="20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5"/>
    <w:qFormat/>
    <w:uiPriority w:val="0"/>
    <w:pPr>
      <w:ind w:firstLine="420" w:firstLineChars="200"/>
    </w:pPr>
  </w:style>
  <w:style w:type="table" w:styleId="9">
    <w:name w:val="Table Grid"/>
    <w:basedOn w:val="8"/>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1421</Words>
  <Characters>1576</Characters>
  <Lines>10</Lines>
  <Paragraphs>2</Paragraphs>
  <TotalTime>21</TotalTime>
  <ScaleCrop>false</ScaleCrop>
  <LinksUpToDate>false</LinksUpToDate>
  <CharactersWithSpaces>1586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Administrator</cp:lastModifiedBy>
  <cp:lastPrinted>2025-03-31T05:10:00Z</cp:lastPrinted>
  <dcterms:modified xsi:type="dcterms:W3CDTF">2025-04-14T02:04:14Z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A36360A59A9F4262821AE4D4A8E2D8A3_13</vt:lpwstr>
  </property>
  <property fmtid="{D5CDD505-2E9C-101B-9397-08002B2CF9AE}" pid="4" name="KSOTemplateDocerSaveRecord">
    <vt:lpwstr>eyJoZGlkIjoiZDA2NTNmYzlhYzcyMjViMjk2OWI0ODA5OTNhNmI1NGEifQ==</vt:lpwstr>
  </property>
</Properties>
</file>