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DEBF4">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山东国际会展中心商业运营有限公司</w:t>
      </w:r>
    </w:p>
    <w:p w14:paraId="179C48F6">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地下餐厅特色餐饮服务商招商公告</w:t>
      </w:r>
    </w:p>
    <w:p w14:paraId="6A72A3D7">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2026年*月**日**时</w:t>
      </w:r>
    </w:p>
    <w:p w14:paraId="0364D99B">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2685B79B">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山东国际会展中心商业运营有限公司根据实际情况和经营管理需要，对地下餐厅特色餐饮服务商进行招商公示，现诚邀资质合格的单位参加报价，请按相关要求进行响应。</w:t>
      </w:r>
    </w:p>
    <w:p w14:paraId="6DCABC8F">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3A6C4AF8">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3BA61318">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（一）项目内容：山东国际会展中心地下餐厅明档区域2m（纵深）*8m（宽）的档口招商，</w:t>
      </w:r>
      <w:r>
        <w:rPr>
          <w:rFonts w:hint="default" w:ascii="仿宋" w:hAnsi="仿宋" w:eastAsia="仿宋" w:cs="仿宋"/>
          <w:b w:val="0"/>
          <w:bCs w:val="0"/>
          <w:i w:val="0"/>
          <w:color w:val="000000"/>
          <w:kern w:val="0"/>
          <w:sz w:val="24"/>
          <w:szCs w:val="24"/>
          <w:u w:val="none"/>
          <w:lang w:val="en-US" w:eastAsia="zh-CN" w:bidi="ar"/>
        </w:rPr>
        <w:t>租赁</w:t>
      </w:r>
      <w:r>
        <w:rPr>
          <w:rFonts w:hint="eastAsia" w:ascii="仿宋" w:hAnsi="仿宋" w:eastAsia="仿宋" w:cs="仿宋"/>
          <w:b w:val="0"/>
          <w:bCs w:val="0"/>
          <w:i w:val="0"/>
          <w:color w:val="000000"/>
          <w:kern w:val="0"/>
          <w:sz w:val="24"/>
          <w:szCs w:val="24"/>
          <w:u w:val="none"/>
          <w:lang w:val="en-US" w:eastAsia="zh-CN" w:bidi="ar"/>
        </w:rPr>
        <w:t>方</w:t>
      </w:r>
      <w:r>
        <w:rPr>
          <w:rFonts w:hint="default" w:ascii="仿宋" w:hAnsi="仿宋" w:eastAsia="仿宋" w:cs="仿宋"/>
          <w:b w:val="0"/>
          <w:bCs w:val="0"/>
          <w:i w:val="0"/>
          <w:color w:val="000000"/>
          <w:kern w:val="0"/>
          <w:sz w:val="24"/>
          <w:szCs w:val="24"/>
          <w:u w:val="none"/>
          <w:lang w:val="en-US" w:eastAsia="zh-CN" w:bidi="ar"/>
        </w:rPr>
        <w:t>不得与</w:t>
      </w:r>
      <w:r>
        <w:rPr>
          <w:rFonts w:hint="eastAsia" w:ascii="仿宋" w:hAnsi="仿宋" w:eastAsia="仿宋" w:cs="仿宋"/>
          <w:b w:val="0"/>
          <w:bCs w:val="0"/>
          <w:i w:val="0"/>
          <w:color w:val="000000"/>
          <w:kern w:val="0"/>
          <w:sz w:val="24"/>
          <w:szCs w:val="24"/>
          <w:u w:val="none"/>
          <w:lang w:val="en-US" w:eastAsia="zh-CN" w:bidi="ar"/>
        </w:rPr>
        <w:t>地下</w:t>
      </w:r>
      <w:r>
        <w:rPr>
          <w:rFonts w:hint="default" w:ascii="仿宋" w:hAnsi="仿宋" w:eastAsia="仿宋" w:cs="仿宋"/>
          <w:b w:val="0"/>
          <w:bCs w:val="0"/>
          <w:i w:val="0"/>
          <w:color w:val="000000"/>
          <w:kern w:val="0"/>
          <w:sz w:val="24"/>
          <w:szCs w:val="24"/>
          <w:u w:val="none"/>
          <w:lang w:val="en-US" w:eastAsia="zh-CN" w:bidi="ar"/>
        </w:rPr>
        <w:t>餐厅现有供餐业务产生直接竞争或冲突</w:t>
      </w:r>
      <w:r>
        <w:rPr>
          <w:rFonts w:hint="eastAsia" w:ascii="仿宋" w:hAnsi="仿宋" w:eastAsia="仿宋" w:cs="仿宋"/>
          <w:b w:val="0"/>
          <w:bCs w:val="0"/>
          <w:i w:val="0"/>
          <w:color w:val="000000"/>
          <w:kern w:val="0"/>
          <w:sz w:val="24"/>
          <w:szCs w:val="24"/>
          <w:u w:val="none"/>
          <w:lang w:val="en-US" w:eastAsia="zh-CN" w:bidi="ar"/>
        </w:rPr>
        <w:t>，不得从事经营</w:t>
      </w:r>
      <w:r>
        <w:rPr>
          <w:rFonts w:hint="default" w:ascii="仿宋" w:hAnsi="仿宋" w:eastAsia="仿宋" w:cs="仿宋"/>
          <w:b w:val="0"/>
          <w:bCs w:val="0"/>
          <w:i w:val="0"/>
          <w:color w:val="000000"/>
          <w:kern w:val="0"/>
          <w:sz w:val="24"/>
          <w:szCs w:val="24"/>
          <w:u w:val="none"/>
          <w:lang w:val="en-US" w:eastAsia="zh-CN" w:bidi="ar"/>
        </w:rPr>
        <w:t>与餐厅自营品类重叠的中</w:t>
      </w:r>
      <w:r>
        <w:rPr>
          <w:rFonts w:hint="eastAsia" w:ascii="仿宋" w:hAnsi="仿宋" w:eastAsia="仿宋" w:cs="仿宋"/>
          <w:b w:val="0"/>
          <w:bCs w:val="0"/>
          <w:i w:val="0"/>
          <w:color w:val="000000"/>
          <w:kern w:val="0"/>
          <w:sz w:val="24"/>
          <w:szCs w:val="24"/>
          <w:u w:val="none"/>
          <w:lang w:val="en-US" w:eastAsia="zh-CN" w:bidi="ar"/>
        </w:rPr>
        <w:t>餐、中</w:t>
      </w:r>
      <w:r>
        <w:rPr>
          <w:rFonts w:hint="default" w:ascii="仿宋" w:hAnsi="仿宋" w:eastAsia="仿宋" w:cs="仿宋"/>
          <w:b w:val="0"/>
          <w:bCs w:val="0"/>
          <w:i w:val="0"/>
          <w:color w:val="000000"/>
          <w:kern w:val="0"/>
          <w:sz w:val="24"/>
          <w:szCs w:val="24"/>
          <w:u w:val="none"/>
          <w:lang w:val="en-US" w:eastAsia="zh-CN" w:bidi="ar"/>
        </w:rPr>
        <w:t>式快餐、套餐等业态。</w:t>
      </w:r>
    </w:p>
    <w:p w14:paraId="18350196">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（二）项目合作期限：一</w:t>
      </w:r>
      <w:r>
        <w:rPr>
          <w:rFonts w:hint="eastAsia" w:ascii="仿宋" w:hAnsi="仿宋" w:eastAsia="仿宋" w:cs="仿宋"/>
          <w:sz w:val="24"/>
          <w:szCs w:val="32"/>
          <w:lang w:val="en-US" w:eastAsia="zh-CN"/>
        </w:rPr>
        <w:t>年期。到期后根据商业运营公司实际需求及对服务单位的服务满意度评价情况由商业运营公司决定是否再行续签，如确认续签，最多可续签两次。</w:t>
      </w:r>
    </w:p>
    <w:p w14:paraId="6048A344">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（三）招商方式：综合评分。</w:t>
      </w:r>
    </w:p>
    <w:p w14:paraId="0121789C">
      <w:pPr>
        <w:pStyle w:val="2"/>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（四）本公告长期有效。</w:t>
      </w:r>
    </w:p>
    <w:p w14:paraId="0E632735">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14:paraId="7DD93E71">
      <w:pPr>
        <w:keepNext w:val="0"/>
        <w:keepLines w:val="0"/>
        <w:widowControl/>
        <w:numPr>
          <w:ilvl w:val="0"/>
          <w:numId w:val="2"/>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（包含个体户）必须是在中华人民共和国境内注册；</w:t>
      </w:r>
    </w:p>
    <w:p w14:paraId="31D921FB">
      <w:pPr>
        <w:keepNext w:val="0"/>
        <w:keepLines w:val="0"/>
        <w:widowControl/>
        <w:numPr>
          <w:ilvl w:val="0"/>
          <w:numId w:val="2"/>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015F885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556CD04D">
      <w:pPr>
        <w:pStyle w:val="2"/>
        <w:keepNext w:val="0"/>
        <w:keepLines w:val="0"/>
        <w:pageBreakBefore w:val="0"/>
        <w:kinsoku/>
        <w:wordWrap/>
        <w:overflowPunct/>
        <w:topLinePunct w:val="0"/>
        <w:autoSpaceDE/>
        <w:autoSpaceDN/>
        <w:bidi w:val="0"/>
        <w:adjustRightInd/>
        <w:snapToGrid/>
        <w:spacing w:line="360" w:lineRule="auto"/>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 xml:space="preserve"> （四）参与本次项目的企业单位需具有食品经营许可证、从业人员健康证等餐饮行业所需的相关资质。</w:t>
      </w:r>
    </w:p>
    <w:p w14:paraId="0E9D0F50">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（五）本项目不接受联合体投标。</w:t>
      </w:r>
    </w:p>
    <w:p w14:paraId="30245B9A">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三、招商要求及回传方式</w:t>
      </w:r>
    </w:p>
    <w:p w14:paraId="6C6CE1BB">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（一）招商要求</w:t>
      </w:r>
    </w:p>
    <w:p w14:paraId="1E334A9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1、招商底价30000元/处，押金20000元</w:t>
      </w:r>
      <w:r>
        <w:rPr>
          <w:rFonts w:hint="eastAsia" w:ascii="仿宋" w:hAnsi="仿宋" w:eastAsia="仿宋" w:cs="仿宋"/>
          <w:b w:val="0"/>
          <w:bCs w:val="0"/>
          <w:i w:val="0"/>
          <w:color w:val="000000"/>
          <w:kern w:val="0"/>
          <w:sz w:val="24"/>
          <w:szCs w:val="24"/>
          <w:u w:val="none"/>
          <w:lang w:val="en-US" w:eastAsia="zh-CN" w:bidi="ar"/>
        </w:rPr>
        <w:t>。</w:t>
      </w:r>
    </w:p>
    <w:p w14:paraId="0355575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2、服务商自主经营，水电及其他能源费用由服务商承担，按月度缴费至商业运营公司</w:t>
      </w:r>
      <w:r>
        <w:rPr>
          <w:rFonts w:hint="eastAsia" w:ascii="仿宋" w:hAnsi="仿宋" w:eastAsia="仿宋" w:cs="仿宋"/>
          <w:sz w:val="24"/>
          <w:szCs w:val="32"/>
          <w:lang w:val="en-US" w:eastAsia="zh-CN"/>
        </w:rPr>
        <w:t>。</w:t>
      </w:r>
    </w:p>
    <w:p w14:paraId="301AACF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3、本项目不允许服务商新建建筑物，如有项目所需的经营手续及支出，由项目服务商自行办理及支付。</w:t>
      </w:r>
    </w:p>
    <w:p w14:paraId="44C45CE6">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3241150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5、</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需递交营业执照、纳税证明、征信证明、项目运营方案、保障措施等（复印件需加盖公章）。</w:t>
      </w:r>
    </w:p>
    <w:p w14:paraId="6788ADC2">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bookmarkStart w:id="0" w:name="_GoBack"/>
      <w:bookmarkEnd w:id="0"/>
    </w:p>
    <w:p w14:paraId="608FF684">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收件人：张老师  电话18963064520 （注：1、快件外部请写明项目名称，例：地下餐厅餐饮项目。2、</w:t>
      </w:r>
      <w:r>
        <w:rPr>
          <w:rStyle w:val="12"/>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2"/>
          <w:rFonts w:hint="eastAsia" w:ascii="仿宋" w:hAnsi="仿宋" w:eastAsia="仿宋" w:cs="仿宋"/>
          <w:b/>
          <w:bCs/>
          <w:i w:val="0"/>
          <w:caps w:val="0"/>
          <w:color w:val="212529"/>
          <w:spacing w:val="0"/>
          <w:sz w:val="24"/>
          <w:szCs w:val="24"/>
          <w:shd w:val="clear" w:fill="FFFFFF"/>
          <w:lang w:eastAsia="zh-CN"/>
        </w:rPr>
        <w:t>。</w:t>
      </w:r>
      <w:r>
        <w:rPr>
          <w:rStyle w:val="12"/>
          <w:rFonts w:hint="eastAsia" w:ascii="仿宋" w:hAnsi="仿宋" w:eastAsia="仿宋" w:cs="仿宋"/>
          <w:b/>
          <w:bCs/>
          <w:i w:val="0"/>
          <w:caps w:val="0"/>
          <w:color w:val="212529"/>
          <w:spacing w:val="0"/>
          <w:sz w:val="24"/>
          <w:szCs w:val="24"/>
          <w:shd w:val="clear" w:fill="FFFFFF"/>
          <w:lang w:val="en-US" w:eastAsia="zh-CN"/>
        </w:rPr>
        <w:t>3、所有文件均准备三份。4</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、参与本项目单位请一并将项目联系人联系方式及营业执照发送至邮箱：hzsyyy2023@163.com</w:t>
      </w:r>
      <w:r>
        <w:rPr>
          <w:rStyle w:val="13"/>
          <w:rFonts w:hint="eastAsia" w:ascii="仿宋" w:hAnsi="仿宋" w:eastAsia="仿宋" w:cs="仿宋"/>
          <w:b/>
          <w:bCs/>
          <w:i w:val="0"/>
          <w:color w:val="000000"/>
          <w:kern w:val="0"/>
          <w:sz w:val="24"/>
          <w:szCs w:val="24"/>
          <w:u w:val="none"/>
          <w:lang w:val="en-US" w:eastAsia="zh-CN" w:bidi="ar"/>
        </w:rPr>
        <w:t>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6909B61F">
      <w:pPr>
        <w:pStyle w:val="8"/>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如有疑问，详情咨询：0531-81255971。</w:t>
      </w:r>
    </w:p>
    <w:p w14:paraId="34F29B77">
      <w:pPr>
        <w:pStyle w:val="8"/>
        <w:ind w:left="0" w:leftChars="0" w:firstLine="480" w:firstLineChars="200"/>
        <w:rPr>
          <w:rFonts w:hint="eastAsia" w:ascii="仿宋" w:hAnsi="仿宋" w:eastAsia="仿宋" w:cs="仿宋"/>
          <w:sz w:val="24"/>
          <w:szCs w:val="32"/>
          <w:lang w:val="en-US" w:eastAsia="zh-CN"/>
        </w:rPr>
      </w:pPr>
    </w:p>
    <w:p w14:paraId="70D737DF">
      <w:pPr>
        <w:pStyle w:val="8"/>
        <w:ind w:left="0" w:leftChars="0" w:firstLine="480" w:firstLineChars="200"/>
        <w:rPr>
          <w:rFonts w:hint="eastAsia" w:ascii="仿宋" w:hAnsi="仿宋" w:eastAsia="仿宋" w:cs="仿宋"/>
          <w:sz w:val="24"/>
          <w:szCs w:val="32"/>
          <w:lang w:val="en-US" w:eastAsia="zh-CN"/>
        </w:rPr>
      </w:pPr>
    </w:p>
    <w:p w14:paraId="05421C0B">
      <w:pPr>
        <w:pStyle w:val="8"/>
        <w:ind w:left="0" w:leftChars="0" w:firstLine="480" w:firstLineChars="200"/>
        <w:rPr>
          <w:rFonts w:hint="eastAsia" w:ascii="仿宋" w:hAnsi="仿宋" w:eastAsia="仿宋" w:cs="仿宋"/>
          <w:sz w:val="24"/>
          <w:szCs w:val="32"/>
          <w:lang w:val="en-US" w:eastAsia="zh-CN"/>
        </w:rPr>
      </w:pPr>
    </w:p>
    <w:p w14:paraId="63FEFCF2">
      <w:pPr>
        <w:pStyle w:val="8"/>
        <w:ind w:left="0" w:leftChars="0" w:firstLine="480" w:firstLineChars="200"/>
        <w:rPr>
          <w:rFonts w:hint="eastAsia" w:ascii="仿宋" w:hAnsi="仿宋" w:eastAsia="仿宋" w:cs="仿宋"/>
          <w:sz w:val="24"/>
          <w:szCs w:val="32"/>
          <w:lang w:val="en-US" w:eastAsia="zh-CN"/>
        </w:rPr>
      </w:pPr>
    </w:p>
    <w:p w14:paraId="06810444">
      <w:pPr>
        <w:pStyle w:val="8"/>
        <w:ind w:left="0" w:leftChars="0" w:firstLine="480" w:firstLineChars="200"/>
        <w:rPr>
          <w:rFonts w:hint="eastAsia" w:ascii="仿宋" w:hAnsi="仿宋" w:eastAsia="仿宋" w:cs="仿宋"/>
          <w:sz w:val="24"/>
          <w:szCs w:val="32"/>
          <w:lang w:val="en-US" w:eastAsia="zh-CN"/>
        </w:rPr>
      </w:pPr>
    </w:p>
    <w:p w14:paraId="0574EC6F">
      <w:pPr>
        <w:pStyle w:val="8"/>
        <w:ind w:left="0" w:leftChars="0" w:firstLine="480" w:firstLineChars="200"/>
        <w:rPr>
          <w:rFonts w:hint="eastAsia" w:ascii="仿宋" w:hAnsi="仿宋" w:eastAsia="仿宋" w:cs="仿宋"/>
          <w:sz w:val="24"/>
          <w:szCs w:val="32"/>
          <w:lang w:val="en-US" w:eastAsia="zh-CN"/>
        </w:rPr>
      </w:pPr>
    </w:p>
    <w:p w14:paraId="7EBDF310">
      <w:pPr>
        <w:pStyle w:val="8"/>
        <w:ind w:left="0" w:leftChars="0" w:firstLine="480" w:firstLineChars="200"/>
        <w:rPr>
          <w:rFonts w:hint="eastAsia" w:ascii="仿宋" w:hAnsi="仿宋" w:eastAsia="仿宋" w:cs="仿宋"/>
          <w:sz w:val="24"/>
          <w:szCs w:val="32"/>
          <w:lang w:val="en-US" w:eastAsia="zh-CN"/>
        </w:rPr>
      </w:pPr>
    </w:p>
    <w:p w14:paraId="39A30C13">
      <w:pPr>
        <w:pStyle w:val="8"/>
        <w:ind w:left="0" w:leftChars="0" w:firstLine="480" w:firstLineChars="200"/>
        <w:rPr>
          <w:rFonts w:hint="eastAsia" w:ascii="仿宋" w:hAnsi="仿宋" w:eastAsia="仿宋" w:cs="仿宋"/>
          <w:sz w:val="24"/>
          <w:szCs w:val="32"/>
          <w:lang w:val="en-US" w:eastAsia="zh-CN"/>
        </w:rPr>
      </w:pPr>
    </w:p>
    <w:p w14:paraId="0F7DA51D">
      <w:pPr>
        <w:rPr>
          <w:rFonts w:hint="eastAsia" w:ascii="仿宋" w:hAnsi="仿宋" w:eastAsia="仿宋" w:cs="仿宋"/>
          <w:sz w:val="24"/>
          <w:szCs w:val="32"/>
          <w:lang w:val="en-US" w:eastAsia="zh-CN"/>
        </w:rPr>
        <w:sectPr>
          <w:pgSz w:w="11906" w:h="16838"/>
          <w:pgMar w:top="1440" w:right="1800" w:bottom="1440" w:left="1800" w:header="851" w:footer="992" w:gutter="0"/>
          <w:cols w:space="425" w:num="1"/>
          <w:docGrid w:type="lines" w:linePitch="312" w:charSpace="0"/>
        </w:sectPr>
      </w:pPr>
    </w:p>
    <w:p w14:paraId="19D09196">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附件：地下餐厅档口招商综合评分表</w:t>
      </w:r>
    </w:p>
    <w:p w14:paraId="79D42263">
      <w:pPr>
        <w:pStyle w:val="8"/>
        <w:ind w:left="0" w:leftChars="0" w:firstLine="0" w:firstLineChars="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山东国际会展中心商业运营有限公司地下餐厅档口招商</w:t>
      </w:r>
    </w:p>
    <w:p w14:paraId="5F2733F2">
      <w:pPr>
        <w:pStyle w:val="8"/>
        <w:ind w:left="0" w:leftChars="0" w:firstLine="0" w:firstLineChars="0"/>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——综合评分表</w:t>
      </w:r>
    </w:p>
    <w:tbl>
      <w:tblPr>
        <w:tblStyle w:val="1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94"/>
        <w:gridCol w:w="618"/>
        <w:gridCol w:w="6889"/>
      </w:tblGrid>
      <w:tr w14:paraId="02DA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617" w:type="dxa"/>
            <w:noWrap w:val="0"/>
            <w:vAlign w:val="center"/>
          </w:tcPr>
          <w:p w14:paraId="29DBFB77">
            <w:pPr>
              <w:pStyle w:val="8"/>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黑体" w:hAnsi="宋体" w:eastAsia="黑体" w:cs="黑体"/>
                <w:i w:val="0"/>
                <w:iCs w:val="0"/>
                <w:color w:val="000000"/>
                <w:kern w:val="0"/>
                <w:sz w:val="28"/>
                <w:szCs w:val="28"/>
                <w:u w:val="none"/>
                <w:lang w:val="en-US" w:eastAsia="zh-CN" w:bidi="ar"/>
              </w:rPr>
              <w:t>序号</w:t>
            </w:r>
          </w:p>
        </w:tc>
        <w:tc>
          <w:tcPr>
            <w:tcW w:w="994" w:type="dxa"/>
            <w:noWrap w:val="0"/>
            <w:vAlign w:val="center"/>
          </w:tcPr>
          <w:p w14:paraId="003212E7">
            <w:pPr>
              <w:pStyle w:val="8"/>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黑体" w:hAnsi="宋体" w:eastAsia="黑体" w:cs="黑体"/>
                <w:i w:val="0"/>
                <w:iCs w:val="0"/>
                <w:color w:val="000000"/>
                <w:kern w:val="0"/>
                <w:sz w:val="28"/>
                <w:szCs w:val="28"/>
                <w:u w:val="none"/>
                <w:lang w:val="en-US" w:eastAsia="zh-CN" w:bidi="ar"/>
              </w:rPr>
              <w:t>评审因素</w:t>
            </w:r>
          </w:p>
        </w:tc>
        <w:tc>
          <w:tcPr>
            <w:tcW w:w="618" w:type="dxa"/>
            <w:noWrap w:val="0"/>
            <w:vAlign w:val="center"/>
          </w:tcPr>
          <w:p w14:paraId="1DE8E033">
            <w:pPr>
              <w:pStyle w:val="8"/>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黑体" w:hAnsi="宋体" w:eastAsia="黑体" w:cs="黑体"/>
                <w:i w:val="0"/>
                <w:iCs w:val="0"/>
                <w:color w:val="000000"/>
                <w:kern w:val="0"/>
                <w:sz w:val="28"/>
                <w:szCs w:val="28"/>
                <w:u w:val="none"/>
                <w:lang w:val="en-US" w:eastAsia="zh-CN" w:bidi="ar"/>
              </w:rPr>
              <w:t>分值</w:t>
            </w:r>
          </w:p>
        </w:tc>
        <w:tc>
          <w:tcPr>
            <w:tcW w:w="6889" w:type="dxa"/>
            <w:noWrap w:val="0"/>
            <w:vAlign w:val="center"/>
          </w:tcPr>
          <w:p w14:paraId="171E5195">
            <w:pPr>
              <w:pStyle w:val="8"/>
              <w:ind w:left="0" w:leftChars="0" w:firstLine="0" w:firstLineChars="0"/>
              <w:jc w:val="center"/>
              <w:rPr>
                <w:rFonts w:hint="eastAsia" w:ascii="仿宋_GB2312" w:hAnsi="仿宋_GB2312" w:eastAsia="仿宋_GB2312" w:cs="仿宋_GB2312"/>
                <w:sz w:val="32"/>
                <w:szCs w:val="32"/>
                <w:vertAlign w:val="baseline"/>
                <w:lang w:eastAsia="zh-CN"/>
              </w:rPr>
            </w:pPr>
            <w:r>
              <w:rPr>
                <w:rFonts w:hint="eastAsia" w:ascii="黑体" w:hAnsi="宋体" w:eastAsia="黑体" w:cs="黑体"/>
                <w:i w:val="0"/>
                <w:iCs w:val="0"/>
                <w:color w:val="000000"/>
                <w:kern w:val="0"/>
                <w:sz w:val="28"/>
                <w:szCs w:val="28"/>
                <w:u w:val="none"/>
                <w:lang w:val="en-US" w:eastAsia="zh-CN" w:bidi="ar"/>
              </w:rPr>
              <w:t>评审标准</w:t>
            </w:r>
          </w:p>
        </w:tc>
      </w:tr>
      <w:tr w14:paraId="2A10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17" w:type="dxa"/>
            <w:noWrap w:val="0"/>
            <w:vAlign w:val="center"/>
          </w:tcPr>
          <w:p w14:paraId="1C26678D">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1</w:t>
            </w:r>
          </w:p>
        </w:tc>
        <w:tc>
          <w:tcPr>
            <w:tcW w:w="994" w:type="dxa"/>
            <w:noWrap w:val="0"/>
            <w:vAlign w:val="center"/>
          </w:tcPr>
          <w:p w14:paraId="0FD99B10">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年租金收入</w:t>
            </w:r>
          </w:p>
        </w:tc>
        <w:tc>
          <w:tcPr>
            <w:tcW w:w="618" w:type="dxa"/>
            <w:noWrap w:val="0"/>
            <w:vAlign w:val="center"/>
          </w:tcPr>
          <w:p w14:paraId="7D18F2E2">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20</w:t>
            </w:r>
          </w:p>
        </w:tc>
        <w:tc>
          <w:tcPr>
            <w:tcW w:w="6889" w:type="dxa"/>
            <w:noWrap w:val="0"/>
            <w:vAlign w:val="center"/>
          </w:tcPr>
          <w:p w14:paraId="75130376">
            <w:pPr>
              <w:pStyle w:val="8"/>
              <w:ind w:left="0" w:leftChars="0" w:firstLine="0" w:firstLineChars="0"/>
              <w:jc w:val="left"/>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kern w:val="0"/>
                <w:sz w:val="24"/>
                <w:szCs w:val="24"/>
                <w:lang w:bidi="ar"/>
              </w:rPr>
              <w:t>营业收入以30000元/年为基准价，各参与单位报价与基准价比较，相同者得</w:t>
            </w:r>
            <w:r>
              <w:rPr>
                <w:rFonts w:hint="eastAsia" w:ascii="楷体" w:hAnsi="楷体" w:eastAsia="楷体" w:cs="楷体"/>
                <w:kern w:val="0"/>
                <w:sz w:val="24"/>
                <w:szCs w:val="24"/>
                <w:lang w:val="en-US" w:eastAsia="zh-CN" w:bidi="ar"/>
              </w:rPr>
              <w:t>16</w:t>
            </w:r>
            <w:r>
              <w:rPr>
                <w:rFonts w:hint="eastAsia" w:ascii="楷体" w:hAnsi="楷体" w:eastAsia="楷体" w:cs="楷体"/>
                <w:kern w:val="0"/>
                <w:sz w:val="24"/>
                <w:szCs w:val="24"/>
                <w:lang w:bidi="ar"/>
              </w:rPr>
              <w:t>分，报价每高于基准价5000元加1分，最高25分。报价低于基准价的，此项不得分。</w:t>
            </w:r>
          </w:p>
        </w:tc>
      </w:tr>
      <w:tr w14:paraId="534C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17" w:type="dxa"/>
            <w:noWrap w:val="0"/>
            <w:vAlign w:val="center"/>
          </w:tcPr>
          <w:p w14:paraId="3BB862F2">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2</w:t>
            </w:r>
          </w:p>
        </w:tc>
        <w:tc>
          <w:tcPr>
            <w:tcW w:w="994" w:type="dxa"/>
            <w:shd w:val="clear" w:color="auto" w:fill="auto"/>
            <w:noWrap w:val="0"/>
            <w:vAlign w:val="center"/>
          </w:tcPr>
          <w:p w14:paraId="7352FA9F">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从业经验及类似案例</w:t>
            </w:r>
          </w:p>
        </w:tc>
        <w:tc>
          <w:tcPr>
            <w:tcW w:w="618" w:type="dxa"/>
            <w:shd w:val="clear" w:color="auto" w:fill="auto"/>
            <w:noWrap w:val="0"/>
            <w:vAlign w:val="center"/>
          </w:tcPr>
          <w:p w14:paraId="471F7734">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20</w:t>
            </w:r>
          </w:p>
        </w:tc>
        <w:tc>
          <w:tcPr>
            <w:tcW w:w="6889" w:type="dxa"/>
            <w:shd w:val="clear" w:color="auto" w:fill="auto"/>
            <w:noWrap w:val="0"/>
            <w:vAlign w:val="center"/>
          </w:tcPr>
          <w:p w14:paraId="6719BB51">
            <w:pPr>
              <w:pStyle w:val="8"/>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参与本次项目的企业近三年的类似案例，每提供一份得5分，最多得20分。</w:t>
            </w:r>
          </w:p>
          <w:p w14:paraId="5FB8F59D">
            <w:pPr>
              <w:pStyle w:val="8"/>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注：需在报名文件近三年类似项目案例中提供相关证明材料并加盖公章。</w:t>
            </w:r>
          </w:p>
        </w:tc>
      </w:tr>
      <w:tr w14:paraId="1494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17" w:type="dxa"/>
            <w:noWrap w:val="0"/>
            <w:vAlign w:val="center"/>
          </w:tcPr>
          <w:p w14:paraId="3DC73298">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3</w:t>
            </w:r>
          </w:p>
        </w:tc>
        <w:tc>
          <w:tcPr>
            <w:tcW w:w="994" w:type="dxa"/>
            <w:shd w:val="clear" w:color="auto" w:fill="auto"/>
            <w:noWrap w:val="0"/>
            <w:vAlign w:val="center"/>
          </w:tcPr>
          <w:p w14:paraId="225C5EC0">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服务方案及保障措施</w:t>
            </w:r>
          </w:p>
        </w:tc>
        <w:tc>
          <w:tcPr>
            <w:tcW w:w="618" w:type="dxa"/>
            <w:shd w:val="clear" w:color="auto" w:fill="auto"/>
            <w:noWrap w:val="0"/>
            <w:vAlign w:val="center"/>
          </w:tcPr>
          <w:p w14:paraId="0B8C87F6">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45</w:t>
            </w:r>
          </w:p>
        </w:tc>
        <w:tc>
          <w:tcPr>
            <w:tcW w:w="6889" w:type="dxa"/>
            <w:shd w:val="clear" w:color="auto" w:fill="auto"/>
            <w:noWrap w:val="0"/>
            <w:vAlign w:val="center"/>
          </w:tcPr>
          <w:p w14:paraId="77E3DC22">
            <w:pPr>
              <w:pStyle w:val="8"/>
              <w:ind w:left="0" w:leftChars="0" w:firstLine="0" w:firstLineChars="0"/>
              <w:jc w:val="left"/>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根据客户需求提供方案，以及根据方案安排，拟投入的服务人员等情况进行赋分。评委根据投标文件情况分为一般、良、优，分别得0-14分、15-29分、30-45分，内容不全酌情扣分，若此条缺项不得分。对服务过程中的响应速度、整个服务过程中的服务态度说明、是否符合展会安全规定、保险齐全。</w:t>
            </w:r>
          </w:p>
        </w:tc>
      </w:tr>
      <w:tr w14:paraId="49E6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617" w:type="dxa"/>
            <w:noWrap w:val="0"/>
            <w:vAlign w:val="center"/>
          </w:tcPr>
          <w:p w14:paraId="3AA22C9B">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4</w:t>
            </w:r>
          </w:p>
        </w:tc>
        <w:tc>
          <w:tcPr>
            <w:tcW w:w="994" w:type="dxa"/>
            <w:shd w:val="clear" w:color="auto" w:fill="auto"/>
            <w:noWrap w:val="0"/>
            <w:vAlign w:val="center"/>
          </w:tcPr>
          <w:p w14:paraId="7EF41049">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企业资质</w:t>
            </w:r>
          </w:p>
        </w:tc>
        <w:tc>
          <w:tcPr>
            <w:tcW w:w="618" w:type="dxa"/>
            <w:shd w:val="clear" w:color="auto" w:fill="auto"/>
            <w:noWrap w:val="0"/>
            <w:vAlign w:val="center"/>
          </w:tcPr>
          <w:p w14:paraId="20989B85">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15</w:t>
            </w:r>
          </w:p>
        </w:tc>
        <w:tc>
          <w:tcPr>
            <w:tcW w:w="6889" w:type="dxa"/>
            <w:shd w:val="clear" w:color="auto" w:fill="auto"/>
            <w:noWrap w:val="0"/>
            <w:vAlign w:val="center"/>
          </w:tcPr>
          <w:p w14:paraId="621AE38A">
            <w:pPr>
              <w:pStyle w:val="8"/>
              <w:ind w:left="0" w:leftChars="0" w:firstLine="0" w:firstLineChars="0"/>
              <w:jc w:val="left"/>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以参与单位提供的资质证明文件为评比标准，营业执照、食品经营许可证、纳税证明、征信证明、从业人员健康证等材料齐全得15分，文件每缺一项扣2分。营业范围切合现场服务需求、无安全事故、无赔偿记录、征信良好酌情加1-2分。</w:t>
            </w:r>
          </w:p>
        </w:tc>
      </w:tr>
      <w:tr w14:paraId="2861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617" w:type="dxa"/>
            <w:noWrap w:val="0"/>
            <w:vAlign w:val="center"/>
          </w:tcPr>
          <w:p w14:paraId="7A78A55E">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5</w:t>
            </w:r>
          </w:p>
        </w:tc>
        <w:tc>
          <w:tcPr>
            <w:tcW w:w="994" w:type="dxa"/>
            <w:noWrap w:val="0"/>
            <w:vAlign w:val="center"/>
          </w:tcPr>
          <w:p w14:paraId="10CC4A85">
            <w:pPr>
              <w:pStyle w:val="8"/>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合计</w:t>
            </w:r>
          </w:p>
        </w:tc>
        <w:tc>
          <w:tcPr>
            <w:tcW w:w="618" w:type="dxa"/>
            <w:noWrap w:val="0"/>
            <w:vAlign w:val="center"/>
          </w:tcPr>
          <w:p w14:paraId="5D5FEDAA">
            <w:pPr>
              <w:pStyle w:val="8"/>
              <w:ind w:left="0" w:leftChars="0" w:firstLine="0" w:firstLineChars="0"/>
              <w:jc w:val="center"/>
              <w:rPr>
                <w:rFonts w:hint="default"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100</w:t>
            </w:r>
          </w:p>
        </w:tc>
        <w:tc>
          <w:tcPr>
            <w:tcW w:w="6889" w:type="dxa"/>
            <w:noWrap w:val="0"/>
            <w:vAlign w:val="center"/>
          </w:tcPr>
          <w:p w14:paraId="3BC238D3">
            <w:pPr>
              <w:pStyle w:val="8"/>
              <w:ind w:left="0" w:leftChars="0" w:firstLine="0" w:firstLineChars="0"/>
              <w:jc w:val="center"/>
              <w:rPr>
                <w:rFonts w:hint="eastAsia" w:ascii="楷体" w:hAnsi="楷体" w:eastAsia="楷体" w:cs="楷体"/>
                <w:i w:val="0"/>
                <w:iCs w:val="0"/>
                <w:color w:val="auto"/>
                <w:kern w:val="0"/>
                <w:sz w:val="24"/>
                <w:szCs w:val="24"/>
                <w:u w:val="none"/>
                <w:lang w:val="en-US" w:eastAsia="zh-CN" w:bidi="ar"/>
              </w:rPr>
            </w:pPr>
          </w:p>
        </w:tc>
      </w:tr>
    </w:tbl>
    <w:p w14:paraId="506ED0CF">
      <w:pPr>
        <w:pStyle w:val="8"/>
        <w:ind w:left="0" w:leftChars="0" w:firstLine="0" w:firstLineChars="0"/>
        <w:rPr>
          <w:rFonts w:hint="default" w:ascii="仿宋_GB2312" w:hAnsi="仿宋_GB2312" w:eastAsia="仿宋_GB2312" w:cs="仿宋_GB2312"/>
          <w:kern w:val="2"/>
          <w:sz w:val="32"/>
          <w:szCs w:val="32"/>
          <w:lang w:val="en-US" w:eastAsia="zh-CN" w:bidi="ar-SA"/>
        </w:rPr>
      </w:pPr>
    </w:p>
    <w:p w14:paraId="5F9E1669">
      <w:pPr>
        <w:pStyle w:val="8"/>
        <w:ind w:left="0" w:leftChars="0" w:firstLine="480" w:firstLineChars="200"/>
        <w:rPr>
          <w:rFonts w:hint="eastAsia" w:ascii="仿宋" w:hAnsi="仿宋" w:eastAsia="仿宋" w:cs="仿宋"/>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05D1C63"/>
    <w:rsid w:val="017151B6"/>
    <w:rsid w:val="0179282C"/>
    <w:rsid w:val="01A1716C"/>
    <w:rsid w:val="036D7940"/>
    <w:rsid w:val="073E237B"/>
    <w:rsid w:val="0852785C"/>
    <w:rsid w:val="08791EB3"/>
    <w:rsid w:val="0A8612FD"/>
    <w:rsid w:val="0BBB2471"/>
    <w:rsid w:val="0D574363"/>
    <w:rsid w:val="0E27137A"/>
    <w:rsid w:val="0E3E7468"/>
    <w:rsid w:val="0F560522"/>
    <w:rsid w:val="118232F4"/>
    <w:rsid w:val="119433AD"/>
    <w:rsid w:val="12243932"/>
    <w:rsid w:val="1413669C"/>
    <w:rsid w:val="14385C7A"/>
    <w:rsid w:val="1475255D"/>
    <w:rsid w:val="155271E9"/>
    <w:rsid w:val="160408D7"/>
    <w:rsid w:val="160A5610"/>
    <w:rsid w:val="16335C26"/>
    <w:rsid w:val="17B17E95"/>
    <w:rsid w:val="18647F69"/>
    <w:rsid w:val="189712A8"/>
    <w:rsid w:val="19081E39"/>
    <w:rsid w:val="19457B5B"/>
    <w:rsid w:val="19874143"/>
    <w:rsid w:val="19DF23A1"/>
    <w:rsid w:val="1A6C7833"/>
    <w:rsid w:val="1C4B0539"/>
    <w:rsid w:val="1E827782"/>
    <w:rsid w:val="1EB36E92"/>
    <w:rsid w:val="21243ED3"/>
    <w:rsid w:val="21BC5F1C"/>
    <w:rsid w:val="21DE53E2"/>
    <w:rsid w:val="22CC050B"/>
    <w:rsid w:val="232E56F6"/>
    <w:rsid w:val="259D7CE3"/>
    <w:rsid w:val="25F31BFD"/>
    <w:rsid w:val="26B67141"/>
    <w:rsid w:val="272B2054"/>
    <w:rsid w:val="27CB32C1"/>
    <w:rsid w:val="27DA0237"/>
    <w:rsid w:val="28B01B1B"/>
    <w:rsid w:val="2911509E"/>
    <w:rsid w:val="2BB77A53"/>
    <w:rsid w:val="2C2816B5"/>
    <w:rsid w:val="2CEB3365"/>
    <w:rsid w:val="2D3C2017"/>
    <w:rsid w:val="2DB32E3C"/>
    <w:rsid w:val="2DB82EAA"/>
    <w:rsid w:val="2FB55C97"/>
    <w:rsid w:val="2FD233D9"/>
    <w:rsid w:val="30377750"/>
    <w:rsid w:val="31E814F0"/>
    <w:rsid w:val="33ED56C2"/>
    <w:rsid w:val="341E5171"/>
    <w:rsid w:val="34F31B7A"/>
    <w:rsid w:val="36FA000E"/>
    <w:rsid w:val="386860E2"/>
    <w:rsid w:val="38986313"/>
    <w:rsid w:val="38A83A80"/>
    <w:rsid w:val="3A815FF5"/>
    <w:rsid w:val="3B432363"/>
    <w:rsid w:val="3BB92288"/>
    <w:rsid w:val="3BE63799"/>
    <w:rsid w:val="3C353678"/>
    <w:rsid w:val="3CE1135C"/>
    <w:rsid w:val="3E185180"/>
    <w:rsid w:val="3EDC2955"/>
    <w:rsid w:val="405B41FF"/>
    <w:rsid w:val="45084A2A"/>
    <w:rsid w:val="45436FCB"/>
    <w:rsid w:val="45FF2A82"/>
    <w:rsid w:val="49157B29"/>
    <w:rsid w:val="49F57186"/>
    <w:rsid w:val="4B7C5F5B"/>
    <w:rsid w:val="4BD51C55"/>
    <w:rsid w:val="4C31205B"/>
    <w:rsid w:val="4C590A63"/>
    <w:rsid w:val="4DE04E8C"/>
    <w:rsid w:val="4E2B176A"/>
    <w:rsid w:val="4EAE7519"/>
    <w:rsid w:val="4F5E5174"/>
    <w:rsid w:val="4FD26BD3"/>
    <w:rsid w:val="502F330A"/>
    <w:rsid w:val="507D70FE"/>
    <w:rsid w:val="51C668F3"/>
    <w:rsid w:val="523F6B14"/>
    <w:rsid w:val="541336C2"/>
    <w:rsid w:val="54784416"/>
    <w:rsid w:val="54E879C4"/>
    <w:rsid w:val="558F4063"/>
    <w:rsid w:val="574A47FC"/>
    <w:rsid w:val="576A599B"/>
    <w:rsid w:val="57AE3E81"/>
    <w:rsid w:val="58DE20E2"/>
    <w:rsid w:val="5C2F74F7"/>
    <w:rsid w:val="5CB23F1F"/>
    <w:rsid w:val="5D3837A4"/>
    <w:rsid w:val="607E52A1"/>
    <w:rsid w:val="62EF34BE"/>
    <w:rsid w:val="62FF4D6E"/>
    <w:rsid w:val="64DA7648"/>
    <w:rsid w:val="660F274E"/>
    <w:rsid w:val="67073673"/>
    <w:rsid w:val="679308EB"/>
    <w:rsid w:val="691E2BBA"/>
    <w:rsid w:val="6A123D2A"/>
    <w:rsid w:val="6AC36D88"/>
    <w:rsid w:val="6B050B48"/>
    <w:rsid w:val="6C472CF7"/>
    <w:rsid w:val="6CE4448D"/>
    <w:rsid w:val="6CEE7919"/>
    <w:rsid w:val="6E297177"/>
    <w:rsid w:val="6F697154"/>
    <w:rsid w:val="6FCA617B"/>
    <w:rsid w:val="70971DF5"/>
    <w:rsid w:val="70DB2CE6"/>
    <w:rsid w:val="70EF2512"/>
    <w:rsid w:val="728C7879"/>
    <w:rsid w:val="72D60AF4"/>
    <w:rsid w:val="72E862CC"/>
    <w:rsid w:val="731F7F23"/>
    <w:rsid w:val="75314659"/>
    <w:rsid w:val="75745932"/>
    <w:rsid w:val="75867E79"/>
    <w:rsid w:val="7A143391"/>
    <w:rsid w:val="7AAF2D79"/>
    <w:rsid w:val="7AE76698"/>
    <w:rsid w:val="7B6C2E02"/>
    <w:rsid w:val="7DAF26CD"/>
    <w:rsid w:val="7DBB1A64"/>
    <w:rsid w:val="7F55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pPr>
  </w:style>
  <w:style w:type="paragraph" w:customStyle="1" w:styleId="3">
    <w:name w:val="BodyText"/>
    <w:basedOn w:val="1"/>
    <w:qFormat/>
    <w:uiPriority w:val="0"/>
    <w:pPr>
      <w:spacing w:after="120"/>
    </w:pPr>
    <w:rPr>
      <w:szCs w:val="20"/>
    </w:rPr>
  </w:style>
  <w:style w:type="paragraph" w:styleId="4">
    <w:name w:val="Body Text"/>
    <w:basedOn w:val="1"/>
    <w:qFormat/>
    <w:uiPriority w:val="0"/>
    <w:pPr>
      <w:spacing w:after="120"/>
    </w:pPr>
    <w:rPr>
      <w:kern w:val="0"/>
      <w:sz w:val="24"/>
      <w:szCs w:val="20"/>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1483</Words>
  <Characters>1588</Characters>
  <Lines>0</Lines>
  <Paragraphs>0</Paragraphs>
  <TotalTime>4</TotalTime>
  <ScaleCrop>false</ScaleCrop>
  <LinksUpToDate>false</LinksUpToDate>
  <CharactersWithSpaces>1592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噹噹然</cp:lastModifiedBy>
  <cp:lastPrinted>2022-08-22T07:58:00Z</cp:lastPrinted>
  <dcterms:modified xsi:type="dcterms:W3CDTF">2026-04-01T03:59:18Z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4DFBB18B59AE491BA0E5BBD2B5D495B8_13</vt:lpwstr>
  </property>
  <property fmtid="{D5CDD505-2E9C-101B-9397-08002B2CF9AE}" pid="4" name="KSOTemplateDocerSaveRecord">
    <vt:lpwstr>eyJoZGlkIjoiZDA2NTNmYzlhYzcyMjViMjk2OWI0ODA5OTNhNmI1NGEiLCJ1c2VySWQiOiIyMzE5NTQ0NjQifQ==</vt:lpwstr>
  </property>
</Properties>
</file>