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9135">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山东国际会展中心商业运营有限公司</w:t>
      </w:r>
    </w:p>
    <w:p w14:paraId="2D31F07A">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绿色特装搭建平台合作服务商招商公告</w:t>
      </w:r>
    </w:p>
    <w:p w14:paraId="162D07EF">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2026年7月14日</w:t>
      </w:r>
    </w:p>
    <w:p w14:paraId="43561D51">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2D4C29D2">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山东国际会展中心商业运营有限公司（以下简称“商业运营公司”）根据实际情况和经营管理需要，对绿色特装搭建平台合作服务商进行招商公示，现诚邀资质合格的单位参加报价，请按相关要求进行响应。</w:t>
      </w:r>
    </w:p>
    <w:p w14:paraId="1E0F22AB">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091490B8">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1F8420A6">
      <w:pPr>
        <w:keepNext w:val="0"/>
        <w:keepLines w:val="0"/>
        <w:widowControl/>
        <w:numPr>
          <w:ilvl w:val="0"/>
          <w:numId w:val="2"/>
        </w:numPr>
        <w:suppressLineNumbers w:val="0"/>
        <w:spacing w:line="360" w:lineRule="auto"/>
        <w:ind w:firstLine="480" w:firstLineChars="200"/>
        <w:jc w:val="left"/>
        <w:textAlignment w:val="center"/>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项目内容：特装平台合作服务商（包括truss架、大屏等）。</w:t>
      </w:r>
    </w:p>
    <w:p w14:paraId="0FB20DA9">
      <w:pPr>
        <w:keepNext w:val="0"/>
        <w:keepLines w:val="0"/>
        <w:widowControl/>
        <w:numPr>
          <w:ilvl w:val="0"/>
          <w:numId w:val="0"/>
        </w:numPr>
        <w:suppressLineNumbers w:val="0"/>
        <w:spacing w:line="360" w:lineRule="auto"/>
        <w:ind w:firstLine="480" w:firstLineChars="200"/>
        <w:jc w:val="left"/>
        <w:textAlignment w:val="center"/>
        <w:rPr>
          <w:rFonts w:hint="default"/>
          <w:lang w:val="en-US" w:eastAsia="zh-CN"/>
        </w:rPr>
      </w:pPr>
      <w:r>
        <w:rPr>
          <w:rFonts w:hint="eastAsia" w:ascii="仿宋" w:hAnsi="仿宋" w:eastAsia="仿宋" w:cs="仿宋"/>
          <w:sz w:val="24"/>
          <w:szCs w:val="32"/>
          <w:lang w:val="en-US" w:eastAsia="zh-CN"/>
        </w:rPr>
        <w:t>（二）合作模式：由商业运营公司与供应商联合开展市场化运营。</w:t>
      </w:r>
    </w:p>
    <w:p w14:paraId="3E38E04C">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（三）项目合作期限：截至2027年1月31日</w:t>
      </w:r>
      <w:r>
        <w:rPr>
          <w:rFonts w:hint="eastAsia" w:ascii="仿宋" w:hAnsi="仿宋" w:eastAsia="仿宋" w:cs="仿宋"/>
          <w:sz w:val="24"/>
          <w:szCs w:val="32"/>
          <w:lang w:val="en-US" w:eastAsia="zh-CN"/>
        </w:rPr>
        <w:t>。</w:t>
      </w:r>
      <w:r>
        <w:rPr>
          <w:rFonts w:hint="eastAsia" w:ascii="仿宋" w:hAnsi="仿宋" w:eastAsia="仿宋" w:cs="仿宋"/>
          <w:b w:val="0"/>
          <w:bCs w:val="0"/>
          <w:i w:val="0"/>
          <w:color w:val="000000"/>
          <w:kern w:val="0"/>
          <w:sz w:val="24"/>
          <w:szCs w:val="24"/>
          <w:u w:val="none"/>
          <w:lang w:val="en-US" w:eastAsia="zh-CN" w:bidi="ar"/>
        </w:rPr>
        <w:t>期限届满后，由商业运营有限公司结合自身实际需求决定是否继续招募合作服务商。</w:t>
      </w:r>
      <w:r>
        <w:rPr>
          <w:rFonts w:hint="eastAsia" w:ascii="仿宋" w:hAnsi="仿宋" w:eastAsia="仿宋" w:cs="仿宋"/>
          <w:sz w:val="24"/>
          <w:szCs w:val="32"/>
          <w:lang w:val="en-US" w:eastAsia="zh-CN"/>
        </w:rPr>
        <w:t>期间因不可抗力、政府、产权方、运营方有新的开发运营规划等情况，提前1个月通知运营方方解除合同，双方互不承担责任。</w:t>
      </w:r>
    </w:p>
    <w:p w14:paraId="7E3B86A0">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（三）招商方式：综合评分。</w:t>
      </w:r>
    </w:p>
    <w:p w14:paraId="306B5311">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7594CB02">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w:t>
      </w:r>
    </w:p>
    <w:p w14:paraId="3FC87C99">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（二）</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4D1F3BE4">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w:t>
      </w:r>
      <w:r>
        <w:rPr>
          <w:rFonts w:hint="default" w:ascii="仿宋" w:hAnsi="仿宋" w:eastAsia="仿宋" w:cs="仿宋"/>
          <w:b w:val="0"/>
          <w:bCs w:val="0"/>
          <w:i w:val="0"/>
          <w:color w:val="000000"/>
          <w:kern w:val="0"/>
          <w:sz w:val="24"/>
          <w:szCs w:val="24"/>
          <w:u w:val="none"/>
          <w:lang w:val="en-US" w:eastAsia="zh-CN" w:bidi="ar"/>
        </w:rPr>
        <w:t>参</w:t>
      </w:r>
      <w:r>
        <w:rPr>
          <w:rFonts w:hint="eastAsia" w:ascii="仿宋" w:hAnsi="仿宋" w:eastAsia="仿宋" w:cs="仿宋"/>
          <w:b w:val="0"/>
          <w:bCs w:val="0"/>
          <w:i w:val="0"/>
          <w:color w:val="000000"/>
          <w:kern w:val="0"/>
          <w:sz w:val="24"/>
          <w:szCs w:val="24"/>
          <w:u w:val="none"/>
          <w:lang w:val="en-US" w:eastAsia="zh-CN" w:bidi="ar"/>
        </w:rPr>
        <w:t>本项目不接受联合体投标。</w:t>
      </w:r>
    </w:p>
    <w:p w14:paraId="13ECA2C3">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14:paraId="6DD8C456">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（一）招商要求</w:t>
      </w:r>
    </w:p>
    <w:p w14:paraId="3DABA3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1、项目所需人员，设施设备、型材等费用由运营单位承担</w:t>
      </w:r>
      <w:r>
        <w:rPr>
          <w:rFonts w:hint="eastAsia" w:ascii="仿宋" w:hAnsi="仿宋" w:eastAsia="仿宋" w:cs="仿宋"/>
          <w:b w:val="0"/>
          <w:bCs w:val="0"/>
          <w:i w:val="0"/>
          <w:color w:val="000000"/>
          <w:kern w:val="0"/>
          <w:sz w:val="24"/>
          <w:szCs w:val="24"/>
          <w:u w:val="none"/>
          <w:lang w:val="en-US" w:eastAsia="zh-CN" w:bidi="ar"/>
        </w:rPr>
        <w:t>。</w:t>
      </w:r>
    </w:p>
    <w:p w14:paraId="3B4D35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合作服务商需接受会展集团和商业运营公司的管理和监督，遵守会展集团的各项管理规定和制度。合同期间，合作服务商负责项目日常安全管理工作，因经营产生的一切投诉、纠纷、债权债务及侵权责任等均由合作服务商自行承担。</w:t>
      </w:r>
    </w:p>
    <w:p w14:paraId="3B9AC8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收益分成。合作服务商在收银等方面接受商业运营公司的统一管理，以商业运营公司营业收入为基数，商业运营公司按含税收入抽成方式抽取，抽成比例为营业收入（含税）的15%，扣除商业运营公司抽成部分后按季度支付给合作服务商。</w:t>
      </w:r>
    </w:p>
    <w:p w14:paraId="13F59168">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4、合同期间，合作服务商负责项目日常管理工作，因经营产生的一切投诉、纠纷、债权债务及侵权责任等均由合作运营单位自行承担。</w:t>
      </w:r>
    </w:p>
    <w:p w14:paraId="0B9268FD">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0D1BC05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6、</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需递交包括但不限于营业执照、纳税证明、征信证明、运营方案、主要业绩等（复印件需加盖公章）。</w:t>
      </w:r>
    </w:p>
    <w:p w14:paraId="32D135D1">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3AC7A364">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参与报价单位请在接收询价单后5天内（2026年7</w:t>
      </w:r>
      <w:r>
        <w:rPr>
          <w:rFonts w:hint="eastAsia" w:ascii="仿宋" w:hAnsi="仿宋" w:eastAsia="仿宋" w:cs="仿宋"/>
          <w:b/>
          <w:bCs/>
          <w:i w:val="0"/>
          <w:color w:val="auto"/>
          <w:kern w:val="0"/>
          <w:sz w:val="24"/>
          <w:szCs w:val="24"/>
          <w:u w:val="none"/>
          <w:lang w:val="en-US" w:eastAsia="zh-CN" w:bidi="ar"/>
        </w:rPr>
        <w:t>月19日12时截止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邮寄至济南市槐荫区日照路1号山东国际会展中心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收件人：张老师  电话:18963064520（注：1、快件外部请写明项目名称，例：绿色特装搭建平台合作服务商项目。2、</w:t>
      </w:r>
      <w:r>
        <w:rPr>
          <w:rStyle w:val="9"/>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9"/>
          <w:rFonts w:hint="eastAsia" w:ascii="仿宋" w:hAnsi="仿宋" w:eastAsia="仿宋" w:cs="仿宋"/>
          <w:b/>
          <w:bCs/>
          <w:i w:val="0"/>
          <w:caps w:val="0"/>
          <w:color w:val="212529"/>
          <w:spacing w:val="0"/>
          <w:sz w:val="24"/>
          <w:szCs w:val="24"/>
          <w:shd w:val="clear" w:fill="FFFFFF"/>
          <w:lang w:eastAsia="zh-CN"/>
        </w:rPr>
        <w:t>。</w:t>
      </w:r>
      <w:r>
        <w:rPr>
          <w:rStyle w:val="9"/>
          <w:rFonts w:hint="eastAsia" w:ascii="仿宋" w:hAnsi="仿宋" w:eastAsia="仿宋" w:cs="仿宋"/>
          <w:b/>
          <w:bCs/>
          <w:i w:val="0"/>
          <w:caps w:val="0"/>
          <w:color w:val="212529"/>
          <w:spacing w:val="0"/>
          <w:sz w:val="24"/>
          <w:szCs w:val="24"/>
          <w:shd w:val="clear" w:fill="FFFFFF"/>
          <w:lang w:val="en-US" w:eastAsia="zh-CN"/>
        </w:rPr>
        <w:t>3、所有文件均准备3份。4</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、参与本项目单位请一并将项目联系人联系方式及营业执照发送至邮箱：hzyyy2023</w:t>
      </w:r>
      <w:r>
        <w:rPr>
          <w:rStyle w:val="10"/>
          <w:rFonts w:hint="eastAsia" w:ascii="仿宋" w:hAnsi="仿宋" w:eastAsia="仿宋" w:cs="仿宋"/>
          <w:b/>
          <w:bCs/>
          <w:i w:val="0"/>
          <w:color w:val="000000"/>
          <w:kern w:val="0"/>
          <w:sz w:val="24"/>
          <w:szCs w:val="24"/>
          <w:u w:val="none"/>
          <w:lang w:val="en-US" w:eastAsia="zh-CN" w:bidi="ar"/>
        </w:rPr>
        <w:t>@163.com以便于统计投标单位数量，邮箱主题名称格式：公司名称+项目名称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bookmarkStart w:id="0" w:name="_GoBack"/>
      <w:bookmarkEnd w:id="0"/>
    </w:p>
    <w:p w14:paraId="6F145B9A">
      <w:pPr>
        <w:pStyle w:val="5"/>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如有疑问，详情咨询：0531-81255971。</w:t>
      </w:r>
    </w:p>
    <w:p w14:paraId="5134146C">
      <w:pPr>
        <w:pStyle w:val="5"/>
        <w:numPr>
          <w:ilvl w:val="0"/>
          <w:numId w:val="0"/>
        </w:numPr>
        <w:ind w:leftChars="20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四、评分标准</w:t>
      </w:r>
    </w:p>
    <w:p w14:paraId="6839568B">
      <w:pPr>
        <w:pStyle w:val="5"/>
        <w:numPr>
          <w:ilvl w:val="0"/>
          <w:numId w:val="0"/>
        </w:numPr>
        <w:ind w:leftChars="200"/>
        <w:rPr>
          <w:rFonts w:hint="default"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评分标准见附件</w:t>
      </w:r>
    </w:p>
    <w:p w14:paraId="5F8ABE8A">
      <w:pPr>
        <w:pStyle w:val="5"/>
        <w:ind w:left="0" w:leftChars="0" w:firstLine="480" w:firstLineChars="200"/>
        <w:rPr>
          <w:rFonts w:hint="eastAsia" w:ascii="仿宋" w:hAnsi="仿宋" w:eastAsia="仿宋" w:cs="仿宋"/>
          <w:sz w:val="24"/>
          <w:szCs w:val="32"/>
          <w:lang w:val="en-US" w:eastAsia="zh-CN"/>
        </w:rPr>
      </w:pPr>
    </w:p>
    <w:p w14:paraId="677B0D2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eastAsia="仿宋_GB2312"/>
          <w:sz w:val="32"/>
          <w:szCs w:val="32"/>
          <w:lang w:val="en-US" w:eastAsia="zh-CN"/>
        </w:rPr>
      </w:pPr>
    </w:p>
    <w:p w14:paraId="185328C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eastAsia="仿宋_GB2312"/>
          <w:sz w:val="32"/>
          <w:szCs w:val="32"/>
          <w:lang w:val="en-US" w:eastAsia="zh-CN"/>
        </w:rPr>
      </w:pPr>
    </w:p>
    <w:p w14:paraId="7490CECB">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eastAsia="仿宋_GB2312"/>
          <w:sz w:val="32"/>
          <w:szCs w:val="32"/>
          <w:lang w:val="en-US" w:eastAsia="zh-CN"/>
        </w:rPr>
      </w:pPr>
    </w:p>
    <w:p w14:paraId="5FCBD02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eastAsia="仿宋_GB2312"/>
          <w:sz w:val="32"/>
          <w:szCs w:val="32"/>
          <w:lang w:val="en-US" w:eastAsia="zh-CN"/>
        </w:rPr>
      </w:pPr>
    </w:p>
    <w:p w14:paraId="56295D5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eastAsia="仿宋_GB2312"/>
          <w:sz w:val="32"/>
          <w:szCs w:val="32"/>
          <w:lang w:val="en-US" w:eastAsia="zh-CN"/>
        </w:rPr>
      </w:pPr>
    </w:p>
    <w:p w14:paraId="19D0919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附件：供应商综合评分表</w:t>
      </w:r>
    </w:p>
    <w:p w14:paraId="2072CCF2">
      <w:pPr>
        <w:pStyle w:val="5"/>
        <w:ind w:left="0" w:leftChars="0" w:firstLine="0" w:firstLineChars="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52B85364">
      <w:pPr>
        <w:pStyle w:val="5"/>
        <w:ind w:left="0" w:leftChars="0" w:firstLine="0" w:firstLineChars="0"/>
        <w:jc w:val="center"/>
        <w:rPr>
          <w:rFonts w:hint="default" w:ascii="仿宋_GB2312" w:eastAsia="仿宋_GB2312"/>
          <w:sz w:val="32"/>
          <w:szCs w:val="32"/>
          <w:lang w:val="en-US"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山东国际会展集团有限公司绿色特装搭建平台合作服务商招募项目——综合评分表</w:t>
      </w:r>
    </w:p>
    <w:tbl>
      <w:tblPr>
        <w:tblStyle w:val="7"/>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94"/>
        <w:gridCol w:w="723"/>
        <w:gridCol w:w="6094"/>
      </w:tblGrid>
      <w:tr w14:paraId="53D2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49" w:type="dxa"/>
            <w:shd w:val="clear" w:color="auto" w:fill="auto"/>
            <w:vAlign w:val="center"/>
          </w:tcPr>
          <w:p w14:paraId="4CC9100C">
            <w:pPr>
              <w:pStyle w:val="5"/>
              <w:ind w:left="0" w:lef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黑体" w:hAnsi="宋体" w:eastAsia="黑体" w:cs="黑体"/>
                <w:i w:val="0"/>
                <w:iCs w:val="0"/>
                <w:color w:val="000000"/>
                <w:kern w:val="0"/>
                <w:sz w:val="28"/>
                <w:szCs w:val="28"/>
                <w:u w:val="none"/>
                <w:lang w:val="en-US" w:eastAsia="zh-CN" w:bidi="ar"/>
              </w:rPr>
              <w:t>序号</w:t>
            </w:r>
          </w:p>
        </w:tc>
        <w:tc>
          <w:tcPr>
            <w:tcW w:w="1394" w:type="dxa"/>
            <w:shd w:val="clear" w:color="auto" w:fill="auto"/>
            <w:vAlign w:val="center"/>
          </w:tcPr>
          <w:p w14:paraId="2E285308">
            <w:pPr>
              <w:pStyle w:val="5"/>
              <w:ind w:left="0" w:lef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黑体" w:hAnsi="宋体" w:eastAsia="黑体" w:cs="黑体"/>
                <w:i w:val="0"/>
                <w:iCs w:val="0"/>
                <w:color w:val="000000"/>
                <w:kern w:val="0"/>
                <w:sz w:val="28"/>
                <w:szCs w:val="28"/>
                <w:u w:val="none"/>
                <w:lang w:val="en-US" w:eastAsia="zh-CN" w:bidi="ar"/>
              </w:rPr>
              <w:t>评审因素</w:t>
            </w:r>
          </w:p>
        </w:tc>
        <w:tc>
          <w:tcPr>
            <w:tcW w:w="723" w:type="dxa"/>
            <w:shd w:val="clear" w:color="auto" w:fill="auto"/>
            <w:vAlign w:val="center"/>
          </w:tcPr>
          <w:p w14:paraId="26C35CCF">
            <w:pPr>
              <w:pStyle w:val="5"/>
              <w:ind w:left="0" w:lef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黑体" w:hAnsi="宋体" w:eastAsia="黑体" w:cs="黑体"/>
                <w:i w:val="0"/>
                <w:iCs w:val="0"/>
                <w:color w:val="000000"/>
                <w:kern w:val="0"/>
                <w:sz w:val="28"/>
                <w:szCs w:val="28"/>
                <w:u w:val="none"/>
                <w:lang w:val="en-US" w:eastAsia="zh-CN" w:bidi="ar"/>
              </w:rPr>
              <w:t>分值</w:t>
            </w:r>
          </w:p>
        </w:tc>
        <w:tc>
          <w:tcPr>
            <w:tcW w:w="6094" w:type="dxa"/>
            <w:shd w:val="clear" w:color="auto" w:fill="auto"/>
            <w:vAlign w:val="center"/>
          </w:tcPr>
          <w:p w14:paraId="68319841">
            <w:pPr>
              <w:pStyle w:val="5"/>
              <w:ind w:left="0" w:lef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黑体" w:hAnsi="宋体" w:eastAsia="黑体" w:cs="黑体"/>
                <w:i w:val="0"/>
                <w:iCs w:val="0"/>
                <w:color w:val="000000"/>
                <w:kern w:val="0"/>
                <w:sz w:val="28"/>
                <w:szCs w:val="28"/>
                <w:u w:val="none"/>
                <w:lang w:val="en-US" w:eastAsia="zh-CN" w:bidi="ar"/>
              </w:rPr>
              <w:t>评审标准</w:t>
            </w:r>
          </w:p>
        </w:tc>
      </w:tr>
      <w:tr w14:paraId="2F8F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49" w:type="dxa"/>
            <w:shd w:val="clear" w:color="auto" w:fill="auto"/>
            <w:vAlign w:val="center"/>
          </w:tcPr>
          <w:p w14:paraId="17A928FE">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1</w:t>
            </w:r>
          </w:p>
        </w:tc>
        <w:tc>
          <w:tcPr>
            <w:tcW w:w="1394" w:type="dxa"/>
            <w:shd w:val="clear" w:color="auto" w:fill="auto"/>
            <w:vAlign w:val="center"/>
          </w:tcPr>
          <w:p w14:paraId="46B18991">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产品功能</w:t>
            </w:r>
          </w:p>
        </w:tc>
        <w:tc>
          <w:tcPr>
            <w:tcW w:w="723" w:type="dxa"/>
            <w:shd w:val="clear" w:color="auto" w:fill="auto"/>
            <w:vAlign w:val="center"/>
          </w:tcPr>
          <w:p w14:paraId="0A969A58">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30</w:t>
            </w:r>
          </w:p>
        </w:tc>
        <w:tc>
          <w:tcPr>
            <w:tcW w:w="6094" w:type="dxa"/>
            <w:shd w:val="clear" w:color="auto" w:fill="auto"/>
            <w:vAlign w:val="center"/>
          </w:tcPr>
          <w:p w14:paraId="6D2B0FFA">
            <w:pPr>
              <w:pStyle w:val="5"/>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根据参与单位提供的产品方案，是否符合绿色搭建要求，能否满足展商搭建及设计相关的要求，能否提高展馆整体运营效率。根据所提供的文件情况分为一般、良、优，分别得0-9分、10-19分、20-30分。</w:t>
            </w:r>
          </w:p>
        </w:tc>
      </w:tr>
      <w:tr w14:paraId="5157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49" w:type="dxa"/>
            <w:shd w:val="clear" w:color="auto" w:fill="auto"/>
            <w:vAlign w:val="center"/>
          </w:tcPr>
          <w:p w14:paraId="0721AE24">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2</w:t>
            </w:r>
          </w:p>
        </w:tc>
        <w:tc>
          <w:tcPr>
            <w:tcW w:w="1394" w:type="dxa"/>
            <w:shd w:val="clear" w:color="auto" w:fill="auto"/>
            <w:vAlign w:val="center"/>
          </w:tcPr>
          <w:p w14:paraId="4C24AE9D">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绿色展装</w:t>
            </w:r>
          </w:p>
          <w:p w14:paraId="15D16469">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解决方案</w:t>
            </w:r>
          </w:p>
        </w:tc>
        <w:tc>
          <w:tcPr>
            <w:tcW w:w="723" w:type="dxa"/>
            <w:shd w:val="clear" w:color="auto" w:fill="auto"/>
            <w:vAlign w:val="center"/>
          </w:tcPr>
          <w:p w14:paraId="2FC3359F">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40</w:t>
            </w:r>
          </w:p>
        </w:tc>
        <w:tc>
          <w:tcPr>
            <w:tcW w:w="6094" w:type="dxa"/>
            <w:shd w:val="clear" w:color="auto" w:fill="auto"/>
            <w:vAlign w:val="center"/>
          </w:tcPr>
          <w:p w14:paraId="6ABD7A9C">
            <w:pPr>
              <w:pStyle w:val="5"/>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根据服务商提供的运营方案（包括产品供货及配送服务方案、经营组织管理措施及保障措施等），以及根据经营方案安排，拟投入的服务人员等情况进行赋分。评委根据投标文件情况分为一般、良、优，分别得0-14分、15-29分、30-40分，内容不全酌情扣分，若此条缺项不得分。</w:t>
            </w:r>
          </w:p>
        </w:tc>
      </w:tr>
      <w:tr w14:paraId="199E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49" w:type="dxa"/>
            <w:shd w:val="clear" w:color="auto" w:fill="auto"/>
            <w:vAlign w:val="center"/>
          </w:tcPr>
          <w:p w14:paraId="76CF808E">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3</w:t>
            </w:r>
          </w:p>
        </w:tc>
        <w:tc>
          <w:tcPr>
            <w:tcW w:w="1394" w:type="dxa"/>
            <w:shd w:val="clear" w:color="auto" w:fill="auto"/>
            <w:vAlign w:val="center"/>
          </w:tcPr>
          <w:p w14:paraId="0EC62B2B">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企业资质</w:t>
            </w:r>
          </w:p>
        </w:tc>
        <w:tc>
          <w:tcPr>
            <w:tcW w:w="723" w:type="dxa"/>
            <w:shd w:val="clear" w:color="auto" w:fill="auto"/>
            <w:vAlign w:val="center"/>
          </w:tcPr>
          <w:p w14:paraId="0FFAA050">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10</w:t>
            </w:r>
          </w:p>
        </w:tc>
        <w:tc>
          <w:tcPr>
            <w:tcW w:w="6094" w:type="dxa"/>
            <w:shd w:val="clear" w:color="auto" w:fill="auto"/>
            <w:vAlign w:val="center"/>
          </w:tcPr>
          <w:p w14:paraId="460D0E79">
            <w:pPr>
              <w:pStyle w:val="5"/>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以参与单位提供的资质证明文件为评比标准，营业执照、纳税证明、征信证明等材料齐全得10分，文件每缺一项扣2分。营业范围切合现场服务需求、无安全事故、无赔偿记录、征信良好酌情加1-2分。</w:t>
            </w:r>
          </w:p>
        </w:tc>
      </w:tr>
      <w:tr w14:paraId="0C1B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49" w:type="dxa"/>
            <w:shd w:val="clear" w:color="auto" w:fill="auto"/>
            <w:vAlign w:val="center"/>
          </w:tcPr>
          <w:p w14:paraId="4609F5D1">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4</w:t>
            </w:r>
          </w:p>
        </w:tc>
        <w:tc>
          <w:tcPr>
            <w:tcW w:w="1394" w:type="dxa"/>
            <w:shd w:val="clear" w:color="auto" w:fill="auto"/>
            <w:vAlign w:val="center"/>
          </w:tcPr>
          <w:p w14:paraId="5BCB6D4E">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从业经验及主要业绩</w:t>
            </w:r>
          </w:p>
        </w:tc>
        <w:tc>
          <w:tcPr>
            <w:tcW w:w="723" w:type="dxa"/>
            <w:shd w:val="clear" w:color="auto" w:fill="auto"/>
            <w:vAlign w:val="center"/>
          </w:tcPr>
          <w:p w14:paraId="5C79CD38">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20</w:t>
            </w:r>
          </w:p>
        </w:tc>
        <w:tc>
          <w:tcPr>
            <w:tcW w:w="6094" w:type="dxa"/>
            <w:shd w:val="clear" w:color="auto" w:fill="auto"/>
            <w:vAlign w:val="center"/>
          </w:tcPr>
          <w:p w14:paraId="0156DEC4">
            <w:pPr>
              <w:pStyle w:val="5"/>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参与本次项目的企业近三年的类似业绩，每提供一份得5分，最多得20分。</w:t>
            </w:r>
          </w:p>
          <w:p w14:paraId="4F4BE532">
            <w:pPr>
              <w:pStyle w:val="5"/>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注：需在报名文件近三年类似项目业绩表中提供相关证明材料并加盖公章。</w:t>
            </w:r>
          </w:p>
        </w:tc>
      </w:tr>
      <w:tr w14:paraId="4888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49" w:type="dxa"/>
            <w:shd w:val="clear" w:color="auto" w:fill="auto"/>
            <w:vAlign w:val="center"/>
          </w:tcPr>
          <w:p w14:paraId="2A9752E0">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5</w:t>
            </w:r>
          </w:p>
        </w:tc>
        <w:tc>
          <w:tcPr>
            <w:tcW w:w="1394" w:type="dxa"/>
            <w:shd w:val="clear" w:color="auto" w:fill="auto"/>
            <w:vAlign w:val="center"/>
          </w:tcPr>
          <w:p w14:paraId="6237C5C8">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合计</w:t>
            </w:r>
          </w:p>
        </w:tc>
        <w:tc>
          <w:tcPr>
            <w:tcW w:w="723" w:type="dxa"/>
            <w:shd w:val="clear" w:color="auto" w:fill="auto"/>
            <w:vAlign w:val="center"/>
          </w:tcPr>
          <w:p w14:paraId="39DD3C2B">
            <w:pPr>
              <w:pStyle w:val="5"/>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100</w:t>
            </w:r>
          </w:p>
        </w:tc>
        <w:tc>
          <w:tcPr>
            <w:tcW w:w="6094" w:type="dxa"/>
          </w:tcPr>
          <w:p w14:paraId="0322E1B2">
            <w:pPr>
              <w:pStyle w:val="11"/>
              <w:rPr>
                <w:rFonts w:hint="eastAsia"/>
                <w:vertAlign w:val="baseline"/>
                <w:lang w:val="en-US" w:eastAsia="zh-CN"/>
              </w:rPr>
            </w:pPr>
          </w:p>
        </w:tc>
      </w:tr>
    </w:tbl>
    <w:p w14:paraId="69D2A8C9">
      <w:pPr>
        <w:pStyle w:val="11"/>
        <w:ind w:left="0" w:leftChars="0" w:firstLine="0" w:firstLineChars="0"/>
        <w:rPr>
          <w:rFonts w:hint="eastAsia"/>
          <w:lang w:val="en-US" w:eastAsia="zh-CN"/>
        </w:rPr>
      </w:pPr>
    </w:p>
    <w:p w14:paraId="0475D3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abstractNum w:abstractNumId="2">
    <w:nsid w:val="6F947308"/>
    <w:multiLevelType w:val="singleLevel"/>
    <w:tmpl w:val="6F94730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F462C"/>
    <w:rsid w:val="6CE86999"/>
    <w:rsid w:val="7D79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585"/>
    </w:pPr>
    <w:rPr>
      <w:rFonts w:ascii="宋体"/>
      <w:sz w:val="28"/>
      <w:szCs w:val="24"/>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Body Text First Indent 2"/>
    <w:basedOn w:val="3"/>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BodyText1I"/>
    <w:basedOn w:val="12"/>
    <w:autoRedefine/>
    <w:qFormat/>
    <w:uiPriority w:val="0"/>
    <w:pPr>
      <w:spacing w:after="120"/>
      <w:ind w:firstLine="420"/>
    </w:pPr>
    <w:rPr>
      <w:rFonts w:ascii="Calibri" w:hAnsi="Calibri" w:eastAsia="宋体" w:cs="Times New Roman"/>
      <w:szCs w:val="20"/>
    </w:rPr>
  </w:style>
  <w:style w:type="paragraph" w:customStyle="1" w:styleId="12">
    <w:name w:val="BodyText"/>
    <w:basedOn w:val="1"/>
    <w:autoRedefine/>
    <w:qFormat/>
    <w:uiPriority w:val="0"/>
    <w:pPr>
      <w:spacing w:after="1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698</Words>
  <Characters>732</Characters>
  <Lines>0</Lines>
  <Paragraphs>0</Paragraphs>
  <TotalTime>2</TotalTime>
  <ScaleCrop>false</ScaleCrop>
  <LinksUpToDate>false</LinksUpToDate>
  <CharactersWithSpaces>732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961717</cp:lastModifiedBy>
  <dcterms:modified xsi:type="dcterms:W3CDTF">2026-07-14T01:26:39Z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eyJoZGlkIjoiMjVkN2I2NmE4NzY4M2FjNmNhYTMzMTgzZmQxZTg1MmYiLCJ1c2VySWQiOiI0NTM5NDk5OTcifQ==</vt:lpwstr>
  </property>
  <property fmtid="{D5CDD505-2E9C-101B-9397-08002B2CF9AE}" pid="4" name="ICV">
    <vt:lpwstr>293CC91E32034C1DA028859B52395446_12</vt:lpwstr>
  </property>
</Properties>
</file>