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CCF591">
      <w:pPr>
        <w:keepNext w:val="0"/>
        <w:keepLines w:val="0"/>
        <w:widowControl/>
        <w:suppressLineNumbers w:val="0"/>
        <w:jc w:val="center"/>
        <w:textAlignment w:val="center"/>
        <w:rPr>
          <w:rFonts w:hint="eastAsia" w:ascii="仿宋" w:hAnsi="仿宋" w:eastAsia="仿宋" w:cs="仿宋"/>
          <w:b/>
          <w:bCs/>
          <w:i w:val="0"/>
          <w:color w:val="000000"/>
          <w:kern w:val="0"/>
          <w:sz w:val="44"/>
          <w:szCs w:val="44"/>
          <w:u w:val="none"/>
          <w:lang w:val="en-US" w:eastAsia="zh-CN" w:bidi="ar"/>
        </w:rPr>
      </w:pPr>
      <w:r>
        <w:rPr>
          <w:rFonts w:hint="eastAsia" w:ascii="仿宋" w:hAnsi="仿宋" w:eastAsia="仿宋" w:cs="仿宋"/>
          <w:b/>
          <w:bCs/>
          <w:i w:val="0"/>
          <w:color w:val="000000"/>
          <w:kern w:val="0"/>
          <w:sz w:val="44"/>
          <w:szCs w:val="44"/>
          <w:u w:val="none"/>
          <w:lang w:val="en-US" w:eastAsia="zh-CN" w:bidi="ar"/>
        </w:rPr>
        <w:t>山东国际会展中心商业运营有限公司</w:t>
      </w:r>
    </w:p>
    <w:p w14:paraId="7E773921">
      <w:pPr>
        <w:keepNext w:val="0"/>
        <w:keepLines w:val="0"/>
        <w:widowControl/>
        <w:suppressLineNumbers w:val="0"/>
        <w:jc w:val="center"/>
        <w:textAlignment w:val="center"/>
        <w:rPr>
          <w:rFonts w:hint="eastAsia" w:ascii="仿宋" w:hAnsi="仿宋" w:eastAsia="仿宋" w:cs="仿宋"/>
          <w:b/>
          <w:bCs/>
          <w:i w:val="0"/>
          <w:color w:val="000000"/>
          <w:kern w:val="0"/>
          <w:sz w:val="44"/>
          <w:szCs w:val="44"/>
          <w:u w:val="none"/>
          <w:lang w:val="en-US" w:eastAsia="zh-CN" w:bidi="ar"/>
        </w:rPr>
      </w:pPr>
      <w:r>
        <w:rPr>
          <w:rFonts w:hint="eastAsia" w:ascii="仿宋" w:hAnsi="仿宋" w:eastAsia="仿宋" w:cs="仿宋"/>
          <w:b/>
          <w:bCs/>
          <w:i w:val="0"/>
          <w:color w:val="000000"/>
          <w:kern w:val="0"/>
          <w:sz w:val="44"/>
          <w:szCs w:val="44"/>
          <w:u w:val="none"/>
          <w:lang w:val="en-US" w:eastAsia="zh-CN" w:bidi="ar"/>
        </w:rPr>
        <w:t>展会晚宴合作服务商招募公告</w:t>
      </w:r>
    </w:p>
    <w:p w14:paraId="082325F2">
      <w:pPr>
        <w:keepNext w:val="0"/>
        <w:keepLines w:val="0"/>
        <w:widowControl/>
        <w:suppressLineNumbers w:val="0"/>
        <w:jc w:val="center"/>
        <w:textAlignment w:val="center"/>
        <w:rPr>
          <w:rFonts w:hint="default" w:ascii="仿宋" w:hAnsi="仿宋" w:eastAsia="仿宋" w:cs="仿宋"/>
          <w:b/>
          <w:bCs/>
          <w:i w:val="0"/>
          <w:color w:val="FF0000"/>
          <w:kern w:val="0"/>
          <w:sz w:val="21"/>
          <w:szCs w:val="21"/>
          <w:u w:val="none"/>
          <w:lang w:val="en-US" w:eastAsia="zh-CN" w:bidi="ar"/>
        </w:rPr>
      </w:pPr>
      <w:r>
        <w:rPr>
          <w:rFonts w:hint="eastAsia" w:ascii="仿宋" w:hAnsi="仿宋" w:eastAsia="仿宋" w:cs="仿宋"/>
          <w:b/>
          <w:bCs/>
          <w:i w:val="0"/>
          <w:color w:val="000000"/>
          <w:kern w:val="0"/>
          <w:sz w:val="21"/>
          <w:szCs w:val="21"/>
          <w:u w:val="none"/>
          <w:lang w:val="en-US" w:eastAsia="zh-CN" w:bidi="ar"/>
        </w:rPr>
        <w:t>发布时间：</w:t>
      </w:r>
      <w:r>
        <w:rPr>
          <w:rFonts w:hint="eastAsia" w:ascii="仿宋" w:hAnsi="仿宋" w:eastAsia="仿宋" w:cs="仿宋"/>
          <w:b/>
          <w:bCs/>
          <w:i w:val="0"/>
          <w:color w:val="auto"/>
          <w:kern w:val="0"/>
          <w:sz w:val="21"/>
          <w:szCs w:val="21"/>
          <w:u w:val="none"/>
          <w:lang w:val="en-US" w:eastAsia="zh-CN" w:bidi="ar"/>
        </w:rPr>
        <w:t>2026年10月9日</w:t>
      </w:r>
    </w:p>
    <w:p w14:paraId="110136BB">
      <w:pPr>
        <w:keepNext w:val="0"/>
        <w:keepLines w:val="0"/>
        <w:widowControl/>
        <w:suppressLineNumbers w:val="0"/>
        <w:jc w:val="center"/>
        <w:textAlignment w:val="center"/>
        <w:rPr>
          <w:rFonts w:hint="eastAsia" w:ascii="仿宋" w:hAnsi="仿宋" w:eastAsia="仿宋" w:cs="仿宋"/>
          <w:b/>
          <w:bCs/>
          <w:i w:val="0"/>
          <w:color w:val="000000"/>
          <w:kern w:val="0"/>
          <w:sz w:val="44"/>
          <w:szCs w:val="44"/>
          <w:u w:val="none"/>
          <w:lang w:val="en-US" w:eastAsia="zh-CN" w:bidi="ar"/>
        </w:rPr>
      </w:pPr>
    </w:p>
    <w:p w14:paraId="0899BC49">
      <w:pPr>
        <w:keepNext w:val="0"/>
        <w:keepLines w:val="0"/>
        <w:widowControl/>
        <w:numPr>
          <w:ilvl w:val="0"/>
          <w:numId w:val="0"/>
        </w:numPr>
        <w:suppressLineNumbers w:val="0"/>
        <w:spacing w:line="360" w:lineRule="auto"/>
        <w:ind w:firstLine="480" w:firstLineChars="200"/>
        <w:jc w:val="left"/>
        <w:textAlignment w:val="center"/>
        <w:rPr>
          <w:rFonts w:hint="eastAsia" w:ascii="仿宋" w:hAnsi="仿宋" w:eastAsia="仿宋" w:cs="仿宋"/>
          <w:b w:val="0"/>
          <w:bCs w:val="0"/>
          <w:i w:val="0"/>
          <w:color w:val="000000"/>
          <w:kern w:val="0"/>
          <w:sz w:val="24"/>
          <w:szCs w:val="24"/>
          <w:u w:val="none"/>
          <w:lang w:val="en-US" w:eastAsia="zh-CN" w:bidi="ar"/>
        </w:rPr>
      </w:pPr>
      <w:r>
        <w:rPr>
          <w:rFonts w:hint="eastAsia" w:ascii="仿宋" w:hAnsi="仿宋" w:eastAsia="仿宋" w:cs="仿宋"/>
          <w:b w:val="0"/>
          <w:bCs w:val="0"/>
          <w:i w:val="0"/>
          <w:color w:val="000000"/>
          <w:kern w:val="0"/>
          <w:sz w:val="24"/>
          <w:szCs w:val="24"/>
          <w:u w:val="none"/>
          <w:lang w:val="en-US" w:eastAsia="zh-CN" w:bidi="ar"/>
        </w:rPr>
        <w:t>山东国际会展中心商业运营有限公司根据实际情况需要，为保障展会用餐服务，保障用餐质量，2026第100届全国汽车配件交易会晚宴服务商进行招募公示，现诚邀资质合格的单位参加报价，请按相关要求进行响应。</w:t>
      </w:r>
    </w:p>
    <w:p w14:paraId="13997447">
      <w:pPr>
        <w:keepNext w:val="0"/>
        <w:keepLines w:val="0"/>
        <w:widowControl/>
        <w:numPr>
          <w:ilvl w:val="0"/>
          <w:numId w:val="0"/>
        </w:numPr>
        <w:suppressLineNumbers w:val="0"/>
        <w:spacing w:line="360" w:lineRule="auto"/>
        <w:ind w:firstLine="482" w:firstLineChars="200"/>
        <w:jc w:val="left"/>
        <w:textAlignment w:val="center"/>
        <w:rPr>
          <w:rFonts w:hint="default" w:ascii="仿宋" w:hAnsi="仿宋" w:eastAsia="仿宋" w:cs="仿宋"/>
          <w:b/>
          <w:bCs/>
          <w:i w:val="0"/>
          <w:color w:val="000000"/>
          <w:kern w:val="0"/>
          <w:sz w:val="24"/>
          <w:szCs w:val="24"/>
          <w:u w:val="none"/>
          <w:lang w:val="en-US" w:eastAsia="zh-CN" w:bidi="ar"/>
        </w:rPr>
      </w:pPr>
      <w:r>
        <w:rPr>
          <w:rFonts w:hint="eastAsia" w:ascii="仿宋" w:hAnsi="仿宋" w:eastAsia="仿宋" w:cs="仿宋"/>
          <w:b/>
          <w:bCs/>
          <w:i w:val="0"/>
          <w:color w:val="000000"/>
          <w:kern w:val="0"/>
          <w:sz w:val="24"/>
          <w:szCs w:val="24"/>
          <w:u w:val="none"/>
          <w:lang w:val="en-US" w:eastAsia="zh-CN" w:bidi="ar"/>
        </w:rPr>
        <w:t>注：以下内容请认真阅览！</w:t>
      </w:r>
    </w:p>
    <w:p w14:paraId="1BDB64BB">
      <w:pPr>
        <w:keepNext w:val="0"/>
        <w:keepLines w:val="0"/>
        <w:widowControl/>
        <w:numPr>
          <w:ilvl w:val="0"/>
          <w:numId w:val="1"/>
        </w:numPr>
        <w:suppressLineNumbers w:val="0"/>
        <w:spacing w:line="360" w:lineRule="auto"/>
        <w:ind w:left="0" w:leftChars="0" w:firstLine="562" w:firstLineChars="200"/>
        <w:jc w:val="left"/>
        <w:textAlignment w:val="center"/>
        <w:rPr>
          <w:rFonts w:hint="default"/>
          <w:lang w:val="en-US" w:eastAsia="zh-CN"/>
        </w:rPr>
      </w:pPr>
      <w:r>
        <w:rPr>
          <w:rFonts w:hint="eastAsia" w:ascii="楷体" w:hAnsi="楷体" w:eastAsia="楷体" w:cs="楷体"/>
          <w:b/>
          <w:bCs/>
          <w:i w:val="0"/>
          <w:color w:val="000000"/>
          <w:kern w:val="0"/>
          <w:sz w:val="28"/>
          <w:szCs w:val="28"/>
          <w:u w:val="none"/>
          <w:lang w:val="en-US" w:eastAsia="zh-CN" w:bidi="ar"/>
        </w:rPr>
        <w:t>项目要素</w:t>
      </w:r>
    </w:p>
    <w:p w14:paraId="5C5B21C6">
      <w:pPr>
        <w:keepNext w:val="0"/>
        <w:keepLines w:val="0"/>
        <w:widowControl/>
        <w:numPr>
          <w:ilvl w:val="0"/>
          <w:numId w:val="0"/>
        </w:numPr>
        <w:suppressLineNumbers w:val="0"/>
        <w:spacing w:line="360" w:lineRule="auto"/>
        <w:ind w:firstLine="480" w:firstLineChars="200"/>
        <w:jc w:val="left"/>
        <w:textAlignment w:val="center"/>
        <w:rPr>
          <w:rFonts w:hint="default" w:ascii="仿宋" w:hAnsi="仿宋" w:eastAsia="仿宋" w:cs="仿宋"/>
          <w:b w:val="0"/>
          <w:bCs w:val="0"/>
          <w:i w:val="0"/>
          <w:color w:val="000000"/>
          <w:kern w:val="0"/>
          <w:sz w:val="24"/>
          <w:szCs w:val="24"/>
          <w:u w:val="none"/>
          <w:lang w:val="en-US" w:eastAsia="zh-CN" w:bidi="ar"/>
        </w:rPr>
      </w:pPr>
      <w:r>
        <w:rPr>
          <w:rFonts w:hint="eastAsia" w:ascii="仿宋" w:hAnsi="仿宋" w:eastAsia="仿宋" w:cs="仿宋"/>
          <w:b w:val="0"/>
          <w:bCs w:val="0"/>
          <w:i w:val="0"/>
          <w:color w:val="000000"/>
          <w:kern w:val="0"/>
          <w:sz w:val="24"/>
          <w:szCs w:val="24"/>
          <w:u w:val="none"/>
          <w:lang w:val="en-US" w:eastAsia="zh-CN" w:bidi="ar"/>
        </w:rPr>
        <w:t>（一）项目内容：为2026第100届全国汽车配件交易会晚宴提供服务。</w:t>
      </w:r>
    </w:p>
    <w:p w14:paraId="23DEA247">
      <w:pPr>
        <w:keepNext w:val="0"/>
        <w:keepLines w:val="0"/>
        <w:widowControl/>
        <w:numPr>
          <w:ilvl w:val="0"/>
          <w:numId w:val="0"/>
        </w:numPr>
        <w:suppressLineNumbers w:val="0"/>
        <w:spacing w:line="360" w:lineRule="auto"/>
        <w:ind w:firstLine="480" w:firstLineChars="200"/>
        <w:jc w:val="left"/>
        <w:textAlignment w:val="center"/>
        <w:rPr>
          <w:rFonts w:hint="default"/>
          <w:lang w:val="en-US" w:eastAsia="zh-CN"/>
        </w:rPr>
      </w:pPr>
      <w:r>
        <w:rPr>
          <w:rFonts w:hint="eastAsia" w:ascii="仿宋" w:hAnsi="仿宋" w:eastAsia="仿宋" w:cs="仿宋"/>
          <w:sz w:val="24"/>
          <w:szCs w:val="32"/>
          <w:lang w:val="en-US" w:eastAsia="zh-CN"/>
        </w:rPr>
        <w:t>（二）合作模式：</w:t>
      </w:r>
      <w:r>
        <w:rPr>
          <w:rFonts w:hint="eastAsia" w:ascii="仿宋" w:hAnsi="仿宋" w:eastAsia="仿宋" w:cs="仿宋"/>
          <w:b w:val="0"/>
          <w:bCs w:val="0"/>
          <w:i w:val="0"/>
          <w:color w:val="000000"/>
          <w:kern w:val="0"/>
          <w:sz w:val="24"/>
          <w:szCs w:val="24"/>
          <w:u w:val="none"/>
          <w:lang w:val="en-US" w:eastAsia="zh-CN" w:bidi="ar"/>
        </w:rPr>
        <w:t>在山东国际会议中心黄河厅举办晚宴，预计桌数80桌，共计800人用餐，服务商需向宴会提供餐饮服务，包含但不限于桌椅、台布、餐具、服务人员，符合食品安全标准。菜品十荤两素、六个凉菜、面食及水果。</w:t>
      </w:r>
    </w:p>
    <w:p w14:paraId="703C4E4D">
      <w:pPr>
        <w:keepNext w:val="0"/>
        <w:keepLines w:val="0"/>
        <w:widowControl/>
        <w:numPr>
          <w:ilvl w:val="0"/>
          <w:numId w:val="0"/>
        </w:numPr>
        <w:suppressLineNumbers w:val="0"/>
        <w:spacing w:line="360" w:lineRule="auto"/>
        <w:ind w:firstLine="480" w:firstLineChars="200"/>
        <w:jc w:val="left"/>
        <w:textAlignment w:val="center"/>
        <w:rPr>
          <w:rFonts w:hint="eastAsia" w:ascii="仿宋" w:hAnsi="仿宋" w:eastAsia="仿宋" w:cs="仿宋"/>
          <w:sz w:val="24"/>
          <w:szCs w:val="32"/>
          <w:lang w:val="en-US" w:eastAsia="zh-CN"/>
        </w:rPr>
      </w:pPr>
      <w:r>
        <w:rPr>
          <w:rFonts w:hint="eastAsia" w:ascii="仿宋" w:hAnsi="仿宋" w:eastAsia="仿宋" w:cs="仿宋"/>
          <w:b w:val="0"/>
          <w:bCs w:val="0"/>
          <w:i w:val="0"/>
          <w:color w:val="000000"/>
          <w:kern w:val="0"/>
          <w:sz w:val="24"/>
          <w:szCs w:val="24"/>
          <w:u w:val="none"/>
          <w:lang w:val="en-US" w:eastAsia="zh-CN" w:bidi="ar"/>
        </w:rPr>
        <w:t>（三）服务时间：2026年10月20日。</w:t>
      </w:r>
    </w:p>
    <w:p w14:paraId="0A471244">
      <w:pPr>
        <w:keepNext w:val="0"/>
        <w:keepLines w:val="0"/>
        <w:widowControl/>
        <w:numPr>
          <w:ilvl w:val="0"/>
          <w:numId w:val="0"/>
        </w:numPr>
        <w:suppressLineNumbers w:val="0"/>
        <w:spacing w:line="360" w:lineRule="auto"/>
        <w:ind w:firstLine="480" w:firstLineChars="200"/>
        <w:jc w:val="left"/>
        <w:textAlignment w:val="center"/>
        <w:rPr>
          <w:rFonts w:hint="default" w:ascii="仿宋" w:hAnsi="仿宋" w:eastAsia="仿宋" w:cs="仿宋"/>
          <w:b w:val="0"/>
          <w:bCs w:val="0"/>
          <w:i w:val="0"/>
          <w:color w:val="000000"/>
          <w:kern w:val="0"/>
          <w:sz w:val="24"/>
          <w:szCs w:val="24"/>
          <w:u w:val="none"/>
          <w:lang w:val="en-US" w:eastAsia="zh-CN" w:bidi="ar"/>
        </w:rPr>
      </w:pPr>
      <w:r>
        <w:rPr>
          <w:rFonts w:hint="eastAsia" w:ascii="仿宋" w:hAnsi="仿宋" w:eastAsia="仿宋" w:cs="仿宋"/>
          <w:b w:val="0"/>
          <w:bCs w:val="0"/>
          <w:i w:val="0"/>
          <w:color w:val="000000"/>
          <w:kern w:val="0"/>
          <w:sz w:val="24"/>
          <w:szCs w:val="24"/>
          <w:u w:val="none"/>
          <w:lang w:val="en-US" w:eastAsia="zh-CN" w:bidi="ar"/>
        </w:rPr>
        <w:t>（三）招募方式：综合评分。</w:t>
      </w:r>
    </w:p>
    <w:p w14:paraId="31F049E3">
      <w:pPr>
        <w:keepNext w:val="0"/>
        <w:keepLines w:val="0"/>
        <w:widowControl/>
        <w:numPr>
          <w:ilvl w:val="0"/>
          <w:numId w:val="1"/>
        </w:numPr>
        <w:suppressLineNumbers w:val="0"/>
        <w:spacing w:line="360" w:lineRule="auto"/>
        <w:ind w:left="0" w:leftChars="0" w:firstLine="562" w:firstLineChars="200"/>
        <w:jc w:val="left"/>
        <w:textAlignment w:val="center"/>
        <w:rPr>
          <w:rFonts w:hint="eastAsia" w:ascii="楷体" w:hAnsi="楷体" w:eastAsia="楷体" w:cs="楷体"/>
          <w:b/>
          <w:bCs/>
          <w:i w:val="0"/>
          <w:color w:val="000000"/>
          <w:kern w:val="0"/>
          <w:sz w:val="28"/>
          <w:szCs w:val="28"/>
          <w:u w:val="none"/>
          <w:lang w:val="en-US" w:eastAsia="zh-CN" w:bidi="ar"/>
        </w:rPr>
      </w:pPr>
      <w:r>
        <w:rPr>
          <w:rFonts w:hint="eastAsia" w:ascii="楷体" w:hAnsi="楷体" w:eastAsia="楷体" w:cs="楷体"/>
          <w:b/>
          <w:bCs/>
          <w:i w:val="0"/>
          <w:color w:val="000000"/>
          <w:kern w:val="0"/>
          <w:sz w:val="28"/>
          <w:szCs w:val="28"/>
          <w:u w:val="none"/>
          <w:lang w:val="en-US" w:eastAsia="zh-CN" w:bidi="ar"/>
        </w:rPr>
        <w:t>参与报价企业资质要求</w:t>
      </w:r>
    </w:p>
    <w:p w14:paraId="5A61C0F9">
      <w:pPr>
        <w:keepNext w:val="0"/>
        <w:keepLines w:val="0"/>
        <w:widowControl/>
        <w:numPr>
          <w:ilvl w:val="0"/>
          <w:numId w:val="2"/>
        </w:numPr>
        <w:suppressLineNumbers w:val="0"/>
        <w:spacing w:line="360" w:lineRule="auto"/>
        <w:ind w:left="0" w:leftChars="0" w:firstLine="480" w:firstLineChars="200"/>
        <w:jc w:val="left"/>
        <w:textAlignment w:val="center"/>
        <w:rPr>
          <w:rFonts w:hint="default" w:ascii="仿宋" w:hAnsi="仿宋" w:eastAsia="仿宋" w:cs="仿宋"/>
          <w:b w:val="0"/>
          <w:bCs w:val="0"/>
          <w:i w:val="0"/>
          <w:color w:val="000000"/>
          <w:kern w:val="0"/>
          <w:sz w:val="24"/>
          <w:szCs w:val="24"/>
          <w:u w:val="none"/>
          <w:lang w:val="en-US" w:eastAsia="zh-CN" w:bidi="ar"/>
        </w:rPr>
      </w:pPr>
      <w:r>
        <w:rPr>
          <w:rFonts w:hint="default" w:ascii="仿宋" w:hAnsi="仿宋" w:eastAsia="仿宋" w:cs="仿宋"/>
          <w:b w:val="0"/>
          <w:bCs w:val="0"/>
          <w:i w:val="0"/>
          <w:color w:val="000000"/>
          <w:kern w:val="0"/>
          <w:sz w:val="24"/>
          <w:szCs w:val="24"/>
          <w:u w:val="none"/>
          <w:lang w:val="en-US" w:eastAsia="zh-CN" w:bidi="ar"/>
        </w:rPr>
        <w:t>参与本次项目的</w:t>
      </w:r>
      <w:r>
        <w:rPr>
          <w:rFonts w:hint="eastAsia" w:ascii="仿宋" w:hAnsi="仿宋" w:eastAsia="仿宋" w:cs="仿宋"/>
          <w:b w:val="0"/>
          <w:bCs w:val="0"/>
          <w:i w:val="0"/>
          <w:color w:val="000000"/>
          <w:kern w:val="0"/>
          <w:sz w:val="24"/>
          <w:szCs w:val="24"/>
          <w:u w:val="none"/>
          <w:lang w:val="en-US" w:eastAsia="zh-CN" w:bidi="ar"/>
        </w:rPr>
        <w:t>企业</w:t>
      </w:r>
      <w:r>
        <w:rPr>
          <w:rFonts w:hint="default" w:ascii="仿宋" w:hAnsi="仿宋" w:eastAsia="仿宋" w:cs="仿宋"/>
          <w:b w:val="0"/>
          <w:bCs w:val="0"/>
          <w:i w:val="0"/>
          <w:color w:val="000000"/>
          <w:kern w:val="0"/>
          <w:sz w:val="24"/>
          <w:szCs w:val="24"/>
          <w:u w:val="none"/>
          <w:lang w:val="en-US" w:eastAsia="zh-CN" w:bidi="ar"/>
        </w:rPr>
        <w:t>单位</w:t>
      </w:r>
      <w:r>
        <w:rPr>
          <w:rFonts w:hint="eastAsia" w:ascii="仿宋" w:hAnsi="仿宋" w:eastAsia="仿宋" w:cs="仿宋"/>
          <w:b w:val="0"/>
          <w:bCs w:val="0"/>
          <w:i w:val="0"/>
          <w:color w:val="000000"/>
          <w:kern w:val="0"/>
          <w:sz w:val="24"/>
          <w:szCs w:val="24"/>
          <w:u w:val="none"/>
          <w:lang w:val="en-US" w:eastAsia="zh-CN" w:bidi="ar"/>
        </w:rPr>
        <w:t>（包含个体户）必须是在中华人民共和国境内注册；</w:t>
      </w:r>
    </w:p>
    <w:p w14:paraId="55AAEB0A">
      <w:pPr>
        <w:keepNext w:val="0"/>
        <w:keepLines w:val="0"/>
        <w:widowControl/>
        <w:numPr>
          <w:ilvl w:val="0"/>
          <w:numId w:val="0"/>
        </w:numPr>
        <w:suppressLineNumbers w:val="0"/>
        <w:spacing w:line="360" w:lineRule="auto"/>
        <w:ind w:firstLine="480" w:firstLineChars="200"/>
        <w:jc w:val="left"/>
        <w:textAlignment w:val="center"/>
        <w:rPr>
          <w:rFonts w:hint="default" w:ascii="仿宋" w:hAnsi="仿宋" w:eastAsia="仿宋" w:cs="仿宋"/>
          <w:b w:val="0"/>
          <w:bCs w:val="0"/>
          <w:i w:val="0"/>
          <w:color w:val="000000"/>
          <w:kern w:val="0"/>
          <w:sz w:val="24"/>
          <w:szCs w:val="24"/>
          <w:u w:val="none"/>
          <w:lang w:val="en-US" w:eastAsia="zh-CN" w:bidi="ar"/>
        </w:rPr>
      </w:pPr>
      <w:r>
        <w:rPr>
          <w:rFonts w:hint="eastAsia" w:ascii="仿宋" w:hAnsi="仿宋" w:eastAsia="仿宋" w:cs="仿宋"/>
          <w:b w:val="0"/>
          <w:bCs w:val="0"/>
          <w:i w:val="0"/>
          <w:color w:val="000000"/>
          <w:kern w:val="0"/>
          <w:sz w:val="24"/>
          <w:szCs w:val="24"/>
          <w:u w:val="none"/>
          <w:lang w:val="en-US" w:eastAsia="zh-CN" w:bidi="ar"/>
        </w:rPr>
        <w:t>（二）</w:t>
      </w:r>
      <w:r>
        <w:rPr>
          <w:rFonts w:hint="default" w:ascii="仿宋" w:hAnsi="仿宋" w:eastAsia="仿宋" w:cs="仿宋"/>
          <w:b w:val="0"/>
          <w:bCs w:val="0"/>
          <w:i w:val="0"/>
          <w:color w:val="000000"/>
          <w:kern w:val="0"/>
          <w:sz w:val="24"/>
          <w:szCs w:val="24"/>
          <w:u w:val="none"/>
          <w:lang w:val="en-US" w:eastAsia="zh-CN" w:bidi="ar"/>
        </w:rPr>
        <w:t>参与本次项目的</w:t>
      </w:r>
      <w:r>
        <w:rPr>
          <w:rFonts w:hint="eastAsia" w:ascii="仿宋" w:hAnsi="仿宋" w:eastAsia="仿宋" w:cs="仿宋"/>
          <w:b w:val="0"/>
          <w:bCs w:val="0"/>
          <w:i w:val="0"/>
          <w:color w:val="000000"/>
          <w:kern w:val="0"/>
          <w:sz w:val="24"/>
          <w:szCs w:val="24"/>
          <w:u w:val="none"/>
          <w:lang w:val="en-US" w:eastAsia="zh-CN" w:bidi="ar"/>
        </w:rPr>
        <w:t>企业</w:t>
      </w:r>
      <w:r>
        <w:rPr>
          <w:rFonts w:hint="default" w:ascii="仿宋" w:hAnsi="仿宋" w:eastAsia="仿宋" w:cs="仿宋"/>
          <w:b w:val="0"/>
          <w:bCs w:val="0"/>
          <w:i w:val="0"/>
          <w:color w:val="000000"/>
          <w:kern w:val="0"/>
          <w:sz w:val="24"/>
          <w:szCs w:val="24"/>
          <w:u w:val="none"/>
          <w:lang w:val="en-US" w:eastAsia="zh-CN" w:bidi="ar"/>
        </w:rPr>
        <w:t>单位具有良好的企业信用，以国家企业信用信息公示系统查询结果为</w:t>
      </w:r>
      <w:r>
        <w:rPr>
          <w:rFonts w:hint="eastAsia" w:ascii="仿宋" w:hAnsi="仿宋" w:eastAsia="仿宋" w:cs="仿宋"/>
          <w:b w:val="0"/>
          <w:bCs w:val="0"/>
          <w:i w:val="0"/>
          <w:color w:val="000000"/>
          <w:kern w:val="0"/>
          <w:sz w:val="24"/>
          <w:szCs w:val="24"/>
          <w:u w:val="none"/>
          <w:lang w:val="en-US" w:eastAsia="zh-CN" w:bidi="ar"/>
        </w:rPr>
        <w:t>准</w:t>
      </w:r>
      <w:r>
        <w:rPr>
          <w:rFonts w:hint="default" w:ascii="仿宋" w:hAnsi="仿宋" w:eastAsia="仿宋" w:cs="仿宋"/>
          <w:b w:val="0"/>
          <w:bCs w:val="0"/>
          <w:i w:val="0"/>
          <w:color w:val="000000"/>
          <w:kern w:val="0"/>
          <w:sz w:val="24"/>
          <w:szCs w:val="24"/>
          <w:u w:val="none"/>
          <w:lang w:val="en-US" w:eastAsia="zh-CN" w:bidi="ar"/>
        </w:rPr>
        <w:t>，查询网址：http：//www.gsxt.gov.cn/；</w:t>
      </w:r>
    </w:p>
    <w:p w14:paraId="1C842032">
      <w:pPr>
        <w:keepNext w:val="0"/>
        <w:keepLines w:val="0"/>
        <w:widowControl/>
        <w:numPr>
          <w:ilvl w:val="0"/>
          <w:numId w:val="0"/>
        </w:numPr>
        <w:suppressLineNumbers w:val="0"/>
        <w:spacing w:line="360" w:lineRule="auto"/>
        <w:ind w:firstLine="480" w:firstLineChars="200"/>
        <w:jc w:val="left"/>
        <w:textAlignment w:val="center"/>
        <w:rPr>
          <w:rFonts w:hint="eastAsia" w:ascii="仿宋" w:hAnsi="仿宋" w:eastAsia="仿宋" w:cs="仿宋"/>
          <w:b w:val="0"/>
          <w:bCs w:val="0"/>
          <w:i w:val="0"/>
          <w:color w:val="000000"/>
          <w:kern w:val="0"/>
          <w:sz w:val="24"/>
          <w:szCs w:val="24"/>
          <w:u w:val="none"/>
          <w:lang w:val="en-US" w:eastAsia="zh-CN" w:bidi="ar"/>
        </w:rPr>
      </w:pPr>
      <w:r>
        <w:rPr>
          <w:rFonts w:hint="eastAsia" w:ascii="仿宋" w:hAnsi="仿宋" w:eastAsia="仿宋" w:cs="仿宋"/>
          <w:b w:val="0"/>
          <w:bCs w:val="0"/>
          <w:i w:val="0"/>
          <w:color w:val="000000"/>
          <w:kern w:val="0"/>
          <w:sz w:val="24"/>
          <w:szCs w:val="24"/>
          <w:u w:val="none"/>
          <w:lang w:val="en-US" w:eastAsia="zh-CN" w:bidi="ar"/>
        </w:rPr>
        <w:t>（三）</w:t>
      </w:r>
      <w:r>
        <w:rPr>
          <w:rFonts w:hint="default" w:ascii="仿宋" w:hAnsi="仿宋" w:eastAsia="仿宋" w:cs="仿宋"/>
          <w:b w:val="0"/>
          <w:bCs w:val="0"/>
          <w:i w:val="0"/>
          <w:color w:val="000000"/>
          <w:kern w:val="0"/>
          <w:sz w:val="24"/>
          <w:szCs w:val="24"/>
          <w:u w:val="none"/>
          <w:lang w:val="en-US" w:eastAsia="zh-CN" w:bidi="ar"/>
        </w:rPr>
        <w:t>参</w:t>
      </w:r>
      <w:r>
        <w:rPr>
          <w:rFonts w:hint="eastAsia" w:ascii="仿宋" w:hAnsi="仿宋" w:eastAsia="仿宋" w:cs="仿宋"/>
          <w:b w:val="0"/>
          <w:bCs w:val="0"/>
          <w:i w:val="0"/>
          <w:color w:val="000000"/>
          <w:kern w:val="0"/>
          <w:sz w:val="24"/>
          <w:szCs w:val="24"/>
          <w:u w:val="none"/>
          <w:lang w:val="en-US" w:eastAsia="zh-CN" w:bidi="ar"/>
        </w:rPr>
        <w:t>本项目不接受联合体投标；</w:t>
      </w:r>
    </w:p>
    <w:p w14:paraId="7395E739">
      <w:pPr>
        <w:keepNext w:val="0"/>
        <w:keepLines w:val="0"/>
        <w:widowControl/>
        <w:numPr>
          <w:ilvl w:val="0"/>
          <w:numId w:val="0"/>
        </w:numPr>
        <w:suppressLineNumbers w:val="0"/>
        <w:spacing w:line="360" w:lineRule="auto"/>
        <w:ind w:leftChars="200" w:firstLine="281" w:firstLineChars="100"/>
        <w:jc w:val="left"/>
        <w:textAlignment w:val="center"/>
        <w:rPr>
          <w:rFonts w:hint="eastAsia" w:ascii="楷体" w:hAnsi="楷体" w:eastAsia="楷体" w:cs="楷体"/>
          <w:b/>
          <w:bCs/>
          <w:i w:val="0"/>
          <w:color w:val="000000"/>
          <w:kern w:val="0"/>
          <w:sz w:val="28"/>
          <w:szCs w:val="28"/>
          <w:u w:val="none"/>
          <w:lang w:val="en-US" w:eastAsia="zh-CN" w:bidi="ar"/>
        </w:rPr>
      </w:pPr>
      <w:r>
        <w:rPr>
          <w:rFonts w:hint="eastAsia" w:ascii="楷体" w:hAnsi="楷体" w:eastAsia="楷体" w:cs="楷体"/>
          <w:b/>
          <w:bCs/>
          <w:i w:val="0"/>
          <w:color w:val="000000"/>
          <w:kern w:val="0"/>
          <w:sz w:val="28"/>
          <w:szCs w:val="28"/>
          <w:u w:val="none"/>
          <w:lang w:val="en-US" w:eastAsia="zh-CN" w:bidi="ar"/>
        </w:rPr>
        <w:t>三、招商要求及回传方式</w:t>
      </w:r>
    </w:p>
    <w:p w14:paraId="647903CF">
      <w:pPr>
        <w:keepNext w:val="0"/>
        <w:keepLines w:val="0"/>
        <w:widowControl/>
        <w:suppressLineNumbers w:val="0"/>
        <w:spacing w:line="360" w:lineRule="auto"/>
        <w:ind w:firstLine="480" w:firstLineChars="200"/>
        <w:jc w:val="left"/>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（一）招商要求</w:t>
      </w:r>
    </w:p>
    <w:p w14:paraId="70BEA2C4">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firstLine="480" w:firstLineChars="200"/>
        <w:jc w:val="left"/>
        <w:textAlignment w:val="center"/>
        <w:rPr>
          <w:rFonts w:hint="eastAsia" w:ascii="仿宋" w:hAnsi="仿宋" w:eastAsia="仿宋" w:cs="仿宋"/>
          <w:b w:val="0"/>
          <w:bCs w:val="0"/>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1、</w:t>
      </w:r>
      <w:r>
        <w:rPr>
          <w:rFonts w:hint="eastAsia" w:ascii="仿宋" w:hAnsi="仿宋" w:eastAsia="仿宋" w:cs="仿宋"/>
          <w:b w:val="0"/>
          <w:bCs w:val="0"/>
          <w:i w:val="0"/>
          <w:color w:val="000000"/>
          <w:kern w:val="0"/>
          <w:sz w:val="24"/>
          <w:szCs w:val="24"/>
          <w:u w:val="none"/>
          <w:lang w:val="en-US" w:eastAsia="zh-CN" w:bidi="ar"/>
        </w:rPr>
        <w:t>报名条件。应满足持有合法有效的营业执照、食品经营许可证等相关证件，合作方从业人员应身体健康，无传染性疾病，并持有食品卫生从业人员健康合格证明。</w:t>
      </w:r>
    </w:p>
    <w:p w14:paraId="0A504E51">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firstLine="480" w:firstLineChars="200"/>
        <w:jc w:val="left"/>
        <w:textAlignment w:val="center"/>
        <w:rPr>
          <w:rFonts w:hint="eastAsia" w:ascii="仿宋" w:hAnsi="仿宋" w:eastAsia="仿宋" w:cs="仿宋"/>
          <w:b w:val="0"/>
          <w:bCs w:val="0"/>
          <w:i w:val="0"/>
          <w:color w:val="000000"/>
          <w:kern w:val="0"/>
          <w:sz w:val="24"/>
          <w:szCs w:val="24"/>
          <w:u w:val="none"/>
          <w:lang w:val="en-US" w:eastAsia="zh-CN" w:bidi="ar"/>
        </w:rPr>
      </w:pPr>
      <w:r>
        <w:rPr>
          <w:rFonts w:hint="eastAsia" w:ascii="仿宋" w:hAnsi="仿宋" w:eastAsia="仿宋" w:cs="仿宋"/>
          <w:b w:val="0"/>
          <w:bCs w:val="0"/>
          <w:i w:val="0"/>
          <w:color w:val="000000"/>
          <w:kern w:val="0"/>
          <w:sz w:val="24"/>
          <w:szCs w:val="24"/>
          <w:u w:val="none"/>
          <w:lang w:val="en-US" w:eastAsia="zh-CN" w:bidi="ar"/>
        </w:rPr>
        <w:t>2、违约责任。服务商应保证环境干净整洁、服务人员证件齐全、确保食材数量，严禁向就餐人员提供过期、变质、卫生不达标等不合格产品，否则服务商将承担全部责任，商业运营公司进行相应扣款。</w:t>
      </w:r>
    </w:p>
    <w:p w14:paraId="0915771E">
      <w:pPr>
        <w:pStyle w:val="2"/>
        <w:ind w:left="0" w:leftChars="0" w:firstLine="480" w:firstLineChars="200"/>
        <w:rPr>
          <w:rFonts w:hint="default" w:ascii="仿宋" w:hAnsi="仿宋" w:eastAsia="仿宋" w:cs="仿宋"/>
          <w:b w:val="0"/>
          <w:bCs w:val="0"/>
          <w:i w:val="0"/>
          <w:color w:val="000000"/>
          <w:kern w:val="0"/>
          <w:sz w:val="24"/>
          <w:szCs w:val="24"/>
          <w:u w:val="none"/>
          <w:lang w:val="en-US" w:eastAsia="zh-CN" w:bidi="ar"/>
        </w:rPr>
      </w:pPr>
      <w:r>
        <w:rPr>
          <w:rFonts w:hint="eastAsia" w:ascii="仿宋" w:hAnsi="仿宋" w:eastAsia="仿宋" w:cs="仿宋"/>
          <w:b w:val="0"/>
          <w:bCs w:val="0"/>
          <w:i w:val="0"/>
          <w:color w:val="000000"/>
          <w:kern w:val="0"/>
          <w:sz w:val="24"/>
          <w:szCs w:val="24"/>
          <w:u w:val="none"/>
          <w:lang w:val="en-US" w:eastAsia="zh-CN" w:bidi="ar"/>
        </w:rPr>
        <w:t>3、投诉处理。在服务过程中如产生服务投诉等现象，由服务商进行全权解决处理。</w:t>
      </w:r>
    </w:p>
    <w:p w14:paraId="5C8A7DDE">
      <w:pPr>
        <w:keepNext w:val="0"/>
        <w:keepLines w:val="0"/>
        <w:widowControl/>
        <w:suppressLineNumbers w:val="0"/>
        <w:spacing w:line="360" w:lineRule="auto"/>
        <w:ind w:firstLine="480" w:firstLineChars="200"/>
        <w:jc w:val="left"/>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4、相关材料请详细</w:t>
      </w:r>
      <w:r>
        <w:rPr>
          <w:rFonts w:hint="eastAsia" w:ascii="仿宋" w:hAnsi="仿宋" w:eastAsia="仿宋" w:cs="仿宋"/>
          <w:b/>
          <w:bCs/>
          <w:i w:val="0"/>
          <w:color w:val="000000"/>
          <w:kern w:val="0"/>
          <w:sz w:val="24"/>
          <w:szCs w:val="24"/>
          <w:u w:val="none"/>
          <w:lang w:val="en-US" w:eastAsia="zh-CN" w:bidi="ar"/>
        </w:rPr>
        <w:t>注明报价时间、项目负责人及其联系方式并盖公章</w:t>
      </w:r>
      <w:r>
        <w:rPr>
          <w:rFonts w:hint="eastAsia" w:ascii="仿宋" w:hAnsi="仿宋" w:eastAsia="仿宋" w:cs="仿宋"/>
          <w:i w:val="0"/>
          <w:color w:val="000000"/>
          <w:kern w:val="0"/>
          <w:sz w:val="24"/>
          <w:szCs w:val="24"/>
          <w:u w:val="none"/>
          <w:lang w:val="en-US" w:eastAsia="zh-CN" w:bidi="ar"/>
        </w:rPr>
        <w:t>。</w:t>
      </w:r>
    </w:p>
    <w:p w14:paraId="60E3C9E2">
      <w:pPr>
        <w:keepNext w:val="0"/>
        <w:keepLines w:val="0"/>
        <w:pageBreakBefore w:val="0"/>
        <w:widowControl/>
        <w:numPr>
          <w:ilvl w:val="0"/>
          <w:numId w:val="0"/>
        </w:numPr>
        <w:suppressLineNumbers w:val="0"/>
        <w:kinsoku/>
        <w:wordWrap/>
        <w:overflowPunct/>
        <w:topLinePunct w:val="0"/>
        <w:autoSpaceDE/>
        <w:autoSpaceDN/>
        <w:bidi w:val="0"/>
        <w:adjustRightInd/>
        <w:snapToGrid/>
        <w:spacing w:line="500" w:lineRule="exact"/>
        <w:ind w:firstLine="480" w:firstLineChars="200"/>
        <w:jc w:val="left"/>
        <w:textAlignment w:val="center"/>
        <w:rPr>
          <w:rFonts w:hint="default"/>
          <w:lang w:val="en-US" w:eastAsia="zh-CN"/>
        </w:rPr>
      </w:pPr>
      <w:r>
        <w:rPr>
          <w:rFonts w:hint="eastAsia" w:ascii="仿宋" w:hAnsi="仿宋" w:eastAsia="仿宋" w:cs="仿宋"/>
          <w:i w:val="0"/>
          <w:color w:val="000000"/>
          <w:kern w:val="0"/>
          <w:sz w:val="24"/>
          <w:szCs w:val="24"/>
          <w:u w:val="none"/>
          <w:lang w:val="en-US" w:eastAsia="zh-CN" w:bidi="ar"/>
        </w:rPr>
        <w:t>5、</w:t>
      </w:r>
      <w:r>
        <w:rPr>
          <w:rFonts w:hint="default" w:ascii="仿宋" w:hAnsi="仿宋" w:eastAsia="仿宋" w:cs="仿宋"/>
          <w:b w:val="0"/>
          <w:bCs w:val="0"/>
          <w:i w:val="0"/>
          <w:color w:val="000000"/>
          <w:kern w:val="0"/>
          <w:sz w:val="24"/>
          <w:szCs w:val="24"/>
          <w:u w:val="none"/>
          <w:lang w:val="en-US" w:eastAsia="zh-CN" w:bidi="ar"/>
        </w:rPr>
        <w:t>参与本次项目的</w:t>
      </w:r>
      <w:r>
        <w:rPr>
          <w:rFonts w:hint="eastAsia" w:ascii="仿宋" w:hAnsi="仿宋" w:eastAsia="仿宋" w:cs="仿宋"/>
          <w:b w:val="0"/>
          <w:bCs w:val="0"/>
          <w:i w:val="0"/>
          <w:color w:val="000000"/>
          <w:kern w:val="0"/>
          <w:sz w:val="24"/>
          <w:szCs w:val="24"/>
          <w:u w:val="none"/>
          <w:lang w:val="en-US" w:eastAsia="zh-CN" w:bidi="ar"/>
        </w:rPr>
        <w:t>企业</w:t>
      </w:r>
      <w:r>
        <w:rPr>
          <w:rFonts w:hint="default" w:ascii="仿宋" w:hAnsi="仿宋" w:eastAsia="仿宋" w:cs="仿宋"/>
          <w:b w:val="0"/>
          <w:bCs w:val="0"/>
          <w:i w:val="0"/>
          <w:color w:val="000000"/>
          <w:kern w:val="0"/>
          <w:sz w:val="24"/>
          <w:szCs w:val="24"/>
          <w:u w:val="none"/>
          <w:lang w:val="en-US" w:eastAsia="zh-CN" w:bidi="ar"/>
        </w:rPr>
        <w:t>单位</w:t>
      </w:r>
      <w:r>
        <w:rPr>
          <w:rFonts w:hint="eastAsia" w:ascii="仿宋" w:hAnsi="仿宋" w:eastAsia="仿宋" w:cs="仿宋"/>
          <w:b w:val="0"/>
          <w:bCs w:val="0"/>
          <w:i w:val="0"/>
          <w:color w:val="000000"/>
          <w:kern w:val="0"/>
          <w:sz w:val="24"/>
          <w:szCs w:val="24"/>
          <w:u w:val="none"/>
          <w:lang w:val="en-US" w:eastAsia="zh-CN" w:bidi="ar"/>
        </w:rPr>
        <w:t>需递交营业执照、纳税证明、征信证明等（复印件需加盖公章）。</w:t>
      </w:r>
    </w:p>
    <w:p w14:paraId="5FAD430A">
      <w:pPr>
        <w:keepNext w:val="0"/>
        <w:keepLines w:val="0"/>
        <w:widowControl/>
        <w:suppressLineNumbers w:val="0"/>
        <w:spacing w:line="360" w:lineRule="auto"/>
        <w:ind w:firstLine="480" w:firstLineChars="200"/>
        <w:jc w:val="left"/>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（二）回传方式</w:t>
      </w:r>
    </w:p>
    <w:p w14:paraId="0F1B3C5E">
      <w:pPr>
        <w:keepNext w:val="0"/>
        <w:keepLines w:val="0"/>
        <w:widowControl/>
        <w:suppressLineNumbers w:val="0"/>
        <w:spacing w:line="360" w:lineRule="auto"/>
        <w:ind w:firstLine="480" w:firstLineChars="200"/>
        <w:jc w:val="left"/>
        <w:textAlignment w:val="center"/>
        <w:rPr>
          <w:rFonts w:hint="default" w:ascii="仿宋" w:hAnsi="仿宋" w:eastAsia="仿宋" w:cs="仿宋"/>
          <w:b/>
          <w:bCs/>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参与单位请在公告发出后的5日内（10</w:t>
      </w:r>
      <w:r>
        <w:rPr>
          <w:rFonts w:hint="eastAsia" w:ascii="仿宋" w:hAnsi="仿宋" w:eastAsia="仿宋" w:cs="仿宋"/>
          <w:b/>
          <w:bCs/>
          <w:i w:val="0"/>
          <w:color w:val="auto"/>
          <w:kern w:val="0"/>
          <w:sz w:val="24"/>
          <w:szCs w:val="24"/>
          <w:u w:val="none"/>
          <w:lang w:val="en-US" w:eastAsia="zh-CN" w:bidi="ar"/>
        </w:rPr>
        <w:t>月14日16时截止</w:t>
      </w:r>
      <w:r>
        <w:rPr>
          <w:rFonts w:hint="eastAsia" w:ascii="仿宋" w:hAnsi="仿宋" w:eastAsia="仿宋" w:cs="仿宋"/>
          <w:i w:val="0"/>
          <w:color w:val="000000"/>
          <w:kern w:val="0"/>
          <w:sz w:val="24"/>
          <w:szCs w:val="24"/>
          <w:u w:val="none"/>
          <w:lang w:val="en-US" w:eastAsia="zh-CN" w:bidi="ar"/>
        </w:rPr>
        <w:t>）将报名材料（提供的所有材料需盖公章）</w:t>
      </w:r>
      <w:r>
        <w:rPr>
          <w:rFonts w:hint="eastAsia" w:ascii="仿宋" w:hAnsi="仿宋" w:eastAsia="仿宋" w:cs="仿宋"/>
          <w:b/>
          <w:bCs/>
          <w:i w:val="0"/>
          <w:color w:val="000000"/>
          <w:kern w:val="0"/>
          <w:sz w:val="24"/>
          <w:szCs w:val="24"/>
          <w:u w:val="none"/>
          <w:lang w:val="en-US" w:eastAsia="zh-CN" w:bidi="ar"/>
        </w:rPr>
        <w:t>邮寄至济南市槐荫区日照路1号山东国际会展中心</w:t>
      </w:r>
      <w:r>
        <w:rPr>
          <w:rFonts w:hint="eastAsia" w:ascii="仿宋" w:hAnsi="仿宋" w:eastAsia="仿宋" w:cs="仿宋"/>
          <w:i w:val="0"/>
          <w:color w:val="000000"/>
          <w:kern w:val="0"/>
          <w:sz w:val="24"/>
          <w:szCs w:val="24"/>
          <w:u w:val="none"/>
          <w:lang w:val="en-US" w:eastAsia="zh-CN" w:bidi="ar"/>
        </w:rPr>
        <w:t>，</w:t>
      </w:r>
      <w:r>
        <w:rPr>
          <w:rFonts w:hint="eastAsia" w:ascii="仿宋" w:hAnsi="仿宋" w:eastAsia="仿宋" w:cs="仿宋"/>
          <w:b/>
          <w:bCs/>
          <w:i w:val="0"/>
          <w:color w:val="000000"/>
          <w:kern w:val="0"/>
          <w:sz w:val="24"/>
          <w:szCs w:val="24"/>
          <w:u w:val="none"/>
          <w:lang w:val="en-US" w:eastAsia="zh-CN" w:bidi="ar"/>
        </w:rPr>
        <w:t>收件人：张老师  电话：18963064520 （注：1、快件外部请写明项目名称，例：展会晚宴服务项目。2、</w:t>
      </w:r>
      <w:r>
        <w:rPr>
          <w:rStyle w:val="13"/>
          <w:rFonts w:hint="eastAsia" w:ascii="仿宋" w:hAnsi="仿宋" w:eastAsia="仿宋" w:cs="仿宋"/>
          <w:b/>
          <w:bCs/>
          <w:i w:val="0"/>
          <w:caps w:val="0"/>
          <w:color w:val="212529"/>
          <w:spacing w:val="0"/>
          <w:sz w:val="24"/>
          <w:szCs w:val="24"/>
          <w:shd w:val="clear" w:fill="FFFFFF"/>
        </w:rPr>
        <w:t>报价文件外包装开封处请密封并加盖密封章、密封条</w:t>
      </w:r>
      <w:r>
        <w:rPr>
          <w:rStyle w:val="13"/>
          <w:rFonts w:hint="eastAsia" w:ascii="仿宋" w:hAnsi="仿宋" w:eastAsia="仿宋" w:cs="仿宋"/>
          <w:b/>
          <w:bCs/>
          <w:i w:val="0"/>
          <w:caps w:val="0"/>
          <w:color w:val="212529"/>
          <w:spacing w:val="0"/>
          <w:sz w:val="24"/>
          <w:szCs w:val="24"/>
          <w:shd w:val="clear" w:fill="FFFFFF"/>
          <w:lang w:eastAsia="zh-CN"/>
        </w:rPr>
        <w:t>。</w:t>
      </w:r>
      <w:r>
        <w:rPr>
          <w:rStyle w:val="13"/>
          <w:rFonts w:hint="eastAsia" w:ascii="仿宋" w:hAnsi="仿宋" w:eastAsia="仿宋" w:cs="仿宋"/>
          <w:b/>
          <w:bCs/>
          <w:i w:val="0"/>
          <w:caps w:val="0"/>
          <w:color w:val="212529"/>
          <w:spacing w:val="0"/>
          <w:sz w:val="24"/>
          <w:szCs w:val="24"/>
          <w:shd w:val="clear" w:fill="FFFFFF"/>
          <w:lang w:val="en-US" w:eastAsia="zh-CN"/>
        </w:rPr>
        <w:t>3、所有文件均准备3份。4</w:t>
      </w:r>
      <w:r>
        <w:rPr>
          <w:rFonts w:hint="eastAsia" w:ascii="仿宋" w:hAnsi="仿宋" w:eastAsia="仿宋" w:cs="仿宋"/>
          <w:b/>
          <w:bCs/>
          <w:i w:val="0"/>
          <w:color w:val="000000"/>
          <w:kern w:val="0"/>
          <w:sz w:val="24"/>
          <w:szCs w:val="24"/>
          <w:u w:val="none"/>
          <w:lang w:val="en-US" w:eastAsia="zh-CN" w:bidi="ar"/>
        </w:rPr>
        <w:t>、参与本项目单位请一并将项目联系人联系方式及营业执照发送至邮箱：hzsyyy2023@163.com</w:t>
      </w:r>
      <w:r>
        <w:rPr>
          <w:rStyle w:val="14"/>
          <w:rFonts w:hint="eastAsia" w:ascii="仿宋" w:hAnsi="仿宋" w:eastAsia="仿宋" w:cs="仿宋"/>
          <w:b/>
          <w:bCs/>
          <w:i w:val="0"/>
          <w:color w:val="000000"/>
          <w:kern w:val="0"/>
          <w:sz w:val="24"/>
          <w:szCs w:val="24"/>
          <w:u w:val="none"/>
          <w:lang w:val="en-US" w:eastAsia="zh-CN" w:bidi="ar"/>
        </w:rPr>
        <w:t>以便于统计投标单位数量，邮箱主题名称格式：公司名称+项目名称</w:t>
      </w:r>
      <w:r>
        <w:rPr>
          <w:rFonts w:hint="eastAsia" w:ascii="仿宋" w:hAnsi="仿宋" w:eastAsia="仿宋" w:cs="仿宋"/>
          <w:b/>
          <w:bCs/>
          <w:i w:val="0"/>
          <w:color w:val="000000"/>
          <w:kern w:val="0"/>
          <w:sz w:val="24"/>
          <w:szCs w:val="24"/>
          <w:u w:val="none"/>
          <w:lang w:val="en-US" w:eastAsia="zh-CN" w:bidi="ar"/>
        </w:rPr>
        <w:t>）</w:t>
      </w:r>
    </w:p>
    <w:p w14:paraId="1519871E">
      <w:pPr>
        <w:pStyle w:val="9"/>
        <w:ind w:left="0" w:leftChars="0" w:firstLine="480" w:firstLineChars="200"/>
        <w:rPr>
          <w:rFonts w:hint="eastAsia" w:ascii="仿宋" w:hAnsi="仿宋" w:eastAsia="仿宋" w:cs="仿宋"/>
          <w:sz w:val="24"/>
          <w:szCs w:val="32"/>
          <w:lang w:val="en-US" w:eastAsia="zh-CN"/>
        </w:rPr>
      </w:pPr>
      <w:r>
        <w:rPr>
          <w:rFonts w:hint="eastAsia" w:ascii="仿宋" w:hAnsi="仿宋" w:eastAsia="仿宋" w:cs="仿宋"/>
          <w:sz w:val="24"/>
          <w:szCs w:val="32"/>
          <w:lang w:val="en-US" w:eastAsia="zh-CN"/>
        </w:rPr>
        <w:t>如有疑问，详情咨询：0531-81255971。</w:t>
      </w:r>
    </w:p>
    <w:p w14:paraId="293E038C">
      <w:pPr>
        <w:pStyle w:val="9"/>
        <w:numPr>
          <w:ilvl w:val="0"/>
          <w:numId w:val="0"/>
        </w:numPr>
        <w:ind w:leftChars="200"/>
        <w:rPr>
          <w:rFonts w:hint="eastAsia" w:ascii="楷体" w:hAnsi="楷体" w:eastAsia="楷体" w:cs="楷体"/>
          <w:b/>
          <w:bCs/>
          <w:sz w:val="28"/>
          <w:szCs w:val="36"/>
          <w:lang w:val="en-US" w:eastAsia="zh-CN"/>
        </w:rPr>
      </w:pPr>
      <w:r>
        <w:rPr>
          <w:rFonts w:hint="eastAsia" w:ascii="楷体" w:hAnsi="楷体" w:eastAsia="楷体" w:cs="楷体"/>
          <w:b/>
          <w:bCs/>
          <w:sz w:val="28"/>
          <w:szCs w:val="36"/>
          <w:lang w:val="en-US" w:eastAsia="zh-CN"/>
        </w:rPr>
        <w:t>四、评分标准</w:t>
      </w:r>
      <w:bookmarkStart w:id="0" w:name="_GoBack"/>
      <w:bookmarkEnd w:id="0"/>
    </w:p>
    <w:p w14:paraId="3E8C5ACA">
      <w:pPr>
        <w:pStyle w:val="9"/>
        <w:numPr>
          <w:ilvl w:val="0"/>
          <w:numId w:val="0"/>
        </w:numPr>
        <w:ind w:leftChars="200"/>
        <w:rPr>
          <w:rFonts w:hint="eastAsia" w:ascii="仿宋" w:hAnsi="仿宋" w:eastAsia="仿宋" w:cs="仿宋"/>
          <w:sz w:val="24"/>
          <w:szCs w:val="32"/>
          <w:lang w:val="en-US" w:eastAsia="zh-CN"/>
        </w:rPr>
      </w:pPr>
      <w:r>
        <w:rPr>
          <w:rFonts w:hint="eastAsia" w:ascii="仿宋" w:hAnsi="仿宋" w:eastAsia="仿宋" w:cs="仿宋"/>
          <w:b w:val="0"/>
          <w:bCs w:val="0"/>
          <w:sz w:val="24"/>
          <w:szCs w:val="32"/>
          <w:lang w:val="en-US" w:eastAsia="zh-CN"/>
        </w:rPr>
        <w:t>评分标准见附件</w:t>
      </w:r>
    </w:p>
    <w:p w14:paraId="389DA9CE">
      <w:pPr>
        <w:rPr>
          <w:rFonts w:hint="eastAsia" w:ascii="仿宋" w:hAnsi="仿宋" w:eastAsia="仿宋" w:cs="仿宋"/>
          <w:sz w:val="24"/>
          <w:szCs w:val="32"/>
          <w:lang w:val="en-US" w:eastAsia="zh-CN"/>
        </w:rPr>
        <w:sectPr>
          <w:pgSz w:w="11906" w:h="16838"/>
          <w:pgMar w:top="1440" w:right="1800" w:bottom="1440" w:left="1800" w:header="851" w:footer="992" w:gutter="0"/>
          <w:cols w:space="425" w:num="1"/>
          <w:docGrid w:type="lines" w:linePitch="312" w:charSpace="0"/>
        </w:sectPr>
      </w:pPr>
    </w:p>
    <w:p w14:paraId="18BF6CF6">
      <w:pPr>
        <w:keepNext w:val="0"/>
        <w:keepLines w:val="0"/>
        <w:pageBreakBefore w:val="0"/>
        <w:widowControl w:val="0"/>
        <w:kinsoku/>
        <w:wordWrap/>
        <w:overflowPunct/>
        <w:topLinePunct w:val="0"/>
        <w:autoSpaceDE/>
        <w:autoSpaceDN/>
        <w:bidi w:val="0"/>
        <w:adjustRightInd/>
        <w:snapToGrid/>
        <w:spacing w:after="157" w:afterLines="50" w:line="600" w:lineRule="exact"/>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w:t>
      </w:r>
      <w:r>
        <w:rPr>
          <w:rFonts w:hint="eastAsia" w:ascii="仿宋_GB2312" w:hAnsi="仿宋_GB2312" w:eastAsia="仿宋_GB2312" w:cs="仿宋_GB2312"/>
          <w:sz w:val="32"/>
          <w:szCs w:val="32"/>
          <w:lang w:eastAsia="zh-CN"/>
        </w:rPr>
        <w:t>综合评分</w:t>
      </w:r>
    </w:p>
    <w:p w14:paraId="6B1D00C8">
      <w:pPr>
        <w:pStyle w:val="9"/>
        <w:ind w:left="0" w:leftChars="0" w:firstLine="0" w:firstLineChars="0"/>
        <w:jc w:val="center"/>
        <w:rPr>
          <w:rFonts w:hint="eastAsia" w:ascii="方正小标宋简体" w:hAnsi="方正小标宋简体" w:eastAsia="方正小标宋简体" w:cs="方正小标宋简体"/>
          <w:i w:val="0"/>
          <w:iCs w:val="0"/>
          <w:color w:val="000000"/>
          <w:kern w:val="0"/>
          <w:sz w:val="32"/>
          <w:szCs w:val="32"/>
          <w:u w:val="none"/>
          <w:lang w:val="en-US" w:eastAsia="zh-CN" w:bidi="ar"/>
        </w:rPr>
      </w:pPr>
      <w:r>
        <w:rPr>
          <w:rFonts w:hint="eastAsia" w:ascii="方正小标宋简体" w:hAnsi="方正小标宋简体" w:eastAsia="方正小标宋简体" w:cs="方正小标宋简体"/>
          <w:i w:val="0"/>
          <w:iCs w:val="0"/>
          <w:color w:val="000000"/>
          <w:kern w:val="0"/>
          <w:sz w:val="32"/>
          <w:szCs w:val="32"/>
          <w:u w:val="none"/>
          <w:lang w:val="en-US" w:eastAsia="zh-CN" w:bidi="ar"/>
        </w:rPr>
        <w:t>山东国际会展中心商业运营有限公司餐饮服务</w:t>
      </w:r>
    </w:p>
    <w:p w14:paraId="5F2733F2">
      <w:pPr>
        <w:pStyle w:val="9"/>
        <w:ind w:left="0" w:leftChars="0" w:firstLine="0" w:firstLineChars="0"/>
        <w:jc w:val="center"/>
        <w:rPr>
          <w:rFonts w:hint="eastAsia" w:ascii="仿宋_GB2312" w:hAnsi="仿宋_GB2312" w:eastAsia="仿宋_GB2312" w:cs="仿宋_GB2312"/>
          <w:sz w:val="32"/>
          <w:szCs w:val="32"/>
          <w:lang w:eastAsia="zh-CN"/>
        </w:rPr>
      </w:pPr>
      <w:r>
        <w:rPr>
          <w:rFonts w:hint="eastAsia" w:ascii="方正小标宋简体" w:hAnsi="方正小标宋简体" w:eastAsia="方正小标宋简体" w:cs="方正小标宋简体"/>
          <w:i w:val="0"/>
          <w:iCs w:val="0"/>
          <w:color w:val="000000"/>
          <w:kern w:val="0"/>
          <w:sz w:val="32"/>
          <w:szCs w:val="32"/>
          <w:u w:val="none"/>
          <w:lang w:val="en-US" w:eastAsia="zh-CN" w:bidi="ar"/>
        </w:rPr>
        <w:t>—综合评分表</w:t>
      </w:r>
    </w:p>
    <w:tbl>
      <w:tblPr>
        <w:tblStyle w:val="11"/>
        <w:tblW w:w="9751" w:type="dxa"/>
        <w:tblInd w:w="-3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5"/>
        <w:gridCol w:w="1006"/>
        <w:gridCol w:w="600"/>
        <w:gridCol w:w="7350"/>
      </w:tblGrid>
      <w:tr w14:paraId="02DAD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trPr>
        <w:tc>
          <w:tcPr>
            <w:tcW w:w="795" w:type="dxa"/>
            <w:noWrap w:val="0"/>
            <w:vAlign w:val="center"/>
          </w:tcPr>
          <w:p w14:paraId="29DBFB77">
            <w:pPr>
              <w:pStyle w:val="9"/>
              <w:ind w:left="0" w:leftChars="0" w:firstLine="0" w:firstLineChars="0"/>
              <w:jc w:val="center"/>
              <w:rPr>
                <w:rFonts w:hint="eastAsia" w:ascii="仿宋_GB2312" w:hAnsi="仿宋_GB2312" w:eastAsia="仿宋_GB2312" w:cs="仿宋_GB2312"/>
                <w:sz w:val="32"/>
                <w:szCs w:val="32"/>
                <w:vertAlign w:val="baseline"/>
                <w:lang w:eastAsia="zh-CN"/>
              </w:rPr>
            </w:pPr>
            <w:r>
              <w:rPr>
                <w:rFonts w:hint="eastAsia" w:ascii="黑体" w:hAnsi="宋体" w:eastAsia="黑体" w:cs="黑体"/>
                <w:i w:val="0"/>
                <w:iCs w:val="0"/>
                <w:color w:val="000000"/>
                <w:kern w:val="0"/>
                <w:sz w:val="28"/>
                <w:szCs w:val="28"/>
                <w:u w:val="none"/>
                <w:lang w:val="en-US" w:eastAsia="zh-CN" w:bidi="ar"/>
              </w:rPr>
              <w:t>序号</w:t>
            </w:r>
          </w:p>
        </w:tc>
        <w:tc>
          <w:tcPr>
            <w:tcW w:w="1006" w:type="dxa"/>
            <w:noWrap w:val="0"/>
            <w:vAlign w:val="center"/>
          </w:tcPr>
          <w:p w14:paraId="003212E7">
            <w:pPr>
              <w:pStyle w:val="9"/>
              <w:ind w:left="0" w:leftChars="0" w:firstLine="0" w:firstLineChars="0"/>
              <w:jc w:val="center"/>
              <w:rPr>
                <w:rFonts w:hint="eastAsia" w:ascii="仿宋_GB2312" w:hAnsi="仿宋_GB2312" w:eastAsia="仿宋_GB2312" w:cs="仿宋_GB2312"/>
                <w:sz w:val="32"/>
                <w:szCs w:val="32"/>
                <w:vertAlign w:val="baseline"/>
                <w:lang w:eastAsia="zh-CN"/>
              </w:rPr>
            </w:pPr>
            <w:r>
              <w:rPr>
                <w:rFonts w:hint="eastAsia" w:ascii="黑体" w:hAnsi="宋体" w:eastAsia="黑体" w:cs="黑体"/>
                <w:i w:val="0"/>
                <w:iCs w:val="0"/>
                <w:color w:val="000000"/>
                <w:kern w:val="0"/>
                <w:sz w:val="28"/>
                <w:szCs w:val="28"/>
                <w:u w:val="none"/>
                <w:lang w:val="en-US" w:eastAsia="zh-CN" w:bidi="ar"/>
              </w:rPr>
              <w:t>评审因素</w:t>
            </w:r>
          </w:p>
        </w:tc>
        <w:tc>
          <w:tcPr>
            <w:tcW w:w="600" w:type="dxa"/>
            <w:noWrap w:val="0"/>
            <w:vAlign w:val="center"/>
          </w:tcPr>
          <w:p w14:paraId="1DE8E033">
            <w:pPr>
              <w:pStyle w:val="9"/>
              <w:ind w:left="0" w:leftChars="0" w:firstLine="0" w:firstLineChars="0"/>
              <w:jc w:val="center"/>
              <w:rPr>
                <w:rFonts w:hint="eastAsia" w:ascii="仿宋_GB2312" w:hAnsi="仿宋_GB2312" w:eastAsia="仿宋_GB2312" w:cs="仿宋_GB2312"/>
                <w:sz w:val="32"/>
                <w:szCs w:val="32"/>
                <w:vertAlign w:val="baseline"/>
                <w:lang w:eastAsia="zh-CN"/>
              </w:rPr>
            </w:pPr>
            <w:r>
              <w:rPr>
                <w:rFonts w:hint="eastAsia" w:ascii="黑体" w:hAnsi="宋体" w:eastAsia="黑体" w:cs="黑体"/>
                <w:i w:val="0"/>
                <w:iCs w:val="0"/>
                <w:color w:val="000000"/>
                <w:kern w:val="0"/>
                <w:sz w:val="28"/>
                <w:szCs w:val="28"/>
                <w:u w:val="none"/>
                <w:lang w:val="en-US" w:eastAsia="zh-CN" w:bidi="ar"/>
              </w:rPr>
              <w:t>分值</w:t>
            </w:r>
          </w:p>
        </w:tc>
        <w:tc>
          <w:tcPr>
            <w:tcW w:w="7350" w:type="dxa"/>
            <w:noWrap w:val="0"/>
            <w:vAlign w:val="center"/>
          </w:tcPr>
          <w:p w14:paraId="171E5195">
            <w:pPr>
              <w:pStyle w:val="9"/>
              <w:ind w:left="0" w:leftChars="0" w:firstLine="0" w:firstLineChars="0"/>
              <w:jc w:val="center"/>
              <w:rPr>
                <w:rFonts w:hint="eastAsia" w:ascii="仿宋_GB2312" w:hAnsi="仿宋_GB2312" w:eastAsia="仿宋_GB2312" w:cs="仿宋_GB2312"/>
                <w:sz w:val="32"/>
                <w:szCs w:val="32"/>
                <w:vertAlign w:val="baseline"/>
                <w:lang w:eastAsia="zh-CN"/>
              </w:rPr>
            </w:pPr>
            <w:r>
              <w:rPr>
                <w:rFonts w:hint="eastAsia" w:ascii="黑体" w:hAnsi="宋体" w:eastAsia="黑体" w:cs="黑体"/>
                <w:i w:val="0"/>
                <w:iCs w:val="0"/>
                <w:color w:val="000000"/>
                <w:kern w:val="0"/>
                <w:sz w:val="28"/>
                <w:szCs w:val="28"/>
                <w:u w:val="none"/>
                <w:lang w:val="en-US" w:eastAsia="zh-CN" w:bidi="ar"/>
              </w:rPr>
              <w:t>评审标准</w:t>
            </w:r>
          </w:p>
        </w:tc>
      </w:tr>
      <w:tr w14:paraId="2A109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0" w:hRule="atLeast"/>
        </w:trPr>
        <w:tc>
          <w:tcPr>
            <w:tcW w:w="795" w:type="dxa"/>
            <w:noWrap w:val="0"/>
            <w:vAlign w:val="center"/>
          </w:tcPr>
          <w:p w14:paraId="1C26678D">
            <w:pPr>
              <w:pStyle w:val="9"/>
              <w:ind w:left="0" w:leftChars="0" w:firstLine="0" w:firstLineChars="0"/>
              <w:jc w:val="center"/>
              <w:rPr>
                <w:rFonts w:hint="default" w:ascii="楷体" w:hAnsi="楷体" w:eastAsia="楷体" w:cs="楷体"/>
                <w:i w:val="0"/>
                <w:iCs w:val="0"/>
                <w:color w:val="auto"/>
                <w:kern w:val="0"/>
                <w:sz w:val="24"/>
                <w:szCs w:val="24"/>
                <w:u w:val="none"/>
                <w:lang w:val="en-US" w:eastAsia="zh-CN" w:bidi="ar"/>
              </w:rPr>
            </w:pPr>
            <w:r>
              <w:rPr>
                <w:rFonts w:hint="eastAsia" w:ascii="楷体" w:hAnsi="楷体" w:eastAsia="楷体" w:cs="楷体"/>
                <w:i w:val="0"/>
                <w:iCs w:val="0"/>
                <w:color w:val="auto"/>
                <w:kern w:val="0"/>
                <w:sz w:val="24"/>
                <w:szCs w:val="24"/>
                <w:u w:val="none"/>
                <w:lang w:val="en-US" w:eastAsia="zh-CN" w:bidi="ar"/>
              </w:rPr>
              <w:t>1</w:t>
            </w:r>
          </w:p>
        </w:tc>
        <w:tc>
          <w:tcPr>
            <w:tcW w:w="1006" w:type="dxa"/>
            <w:noWrap w:val="0"/>
            <w:vAlign w:val="center"/>
          </w:tcPr>
          <w:p w14:paraId="0FD99B10">
            <w:pPr>
              <w:pStyle w:val="9"/>
              <w:ind w:left="0" w:leftChars="0" w:firstLine="0" w:firstLineChars="0"/>
              <w:jc w:val="center"/>
              <w:rPr>
                <w:rFonts w:hint="default" w:ascii="楷体" w:hAnsi="楷体" w:eastAsia="楷体" w:cs="楷体"/>
                <w:i w:val="0"/>
                <w:iCs w:val="0"/>
                <w:color w:val="auto"/>
                <w:kern w:val="0"/>
                <w:sz w:val="24"/>
                <w:szCs w:val="24"/>
                <w:u w:val="none"/>
                <w:lang w:val="en-US" w:eastAsia="zh-CN" w:bidi="ar"/>
              </w:rPr>
            </w:pPr>
            <w:r>
              <w:rPr>
                <w:rFonts w:hint="eastAsia" w:ascii="楷体" w:hAnsi="楷体" w:eastAsia="楷体" w:cs="楷体"/>
                <w:i w:val="0"/>
                <w:iCs w:val="0"/>
                <w:color w:val="auto"/>
                <w:kern w:val="0"/>
                <w:sz w:val="24"/>
                <w:szCs w:val="24"/>
                <w:u w:val="none"/>
                <w:lang w:val="en-US" w:eastAsia="zh-CN" w:bidi="ar"/>
              </w:rPr>
              <w:t>报价</w:t>
            </w:r>
          </w:p>
        </w:tc>
        <w:tc>
          <w:tcPr>
            <w:tcW w:w="600" w:type="dxa"/>
            <w:noWrap w:val="0"/>
            <w:vAlign w:val="center"/>
          </w:tcPr>
          <w:p w14:paraId="7D18F2E2">
            <w:pPr>
              <w:pStyle w:val="9"/>
              <w:ind w:left="0" w:leftChars="0" w:firstLine="0" w:firstLineChars="0"/>
              <w:jc w:val="center"/>
              <w:rPr>
                <w:rFonts w:hint="default" w:ascii="楷体" w:hAnsi="楷体" w:eastAsia="楷体" w:cs="楷体"/>
                <w:i w:val="0"/>
                <w:iCs w:val="0"/>
                <w:color w:val="auto"/>
                <w:kern w:val="0"/>
                <w:sz w:val="24"/>
                <w:szCs w:val="24"/>
                <w:u w:val="none"/>
                <w:lang w:val="en-US" w:eastAsia="zh-CN" w:bidi="ar"/>
              </w:rPr>
            </w:pPr>
            <w:r>
              <w:rPr>
                <w:rFonts w:hint="eastAsia" w:ascii="楷体" w:hAnsi="楷体" w:eastAsia="楷体" w:cs="楷体"/>
                <w:i w:val="0"/>
                <w:iCs w:val="0"/>
                <w:color w:val="auto"/>
                <w:kern w:val="0"/>
                <w:sz w:val="24"/>
                <w:szCs w:val="24"/>
                <w:u w:val="none"/>
                <w:lang w:val="en-US" w:eastAsia="zh-CN" w:bidi="ar"/>
              </w:rPr>
              <w:t>20</w:t>
            </w:r>
          </w:p>
        </w:tc>
        <w:tc>
          <w:tcPr>
            <w:tcW w:w="7350" w:type="dxa"/>
            <w:noWrap w:val="0"/>
            <w:vAlign w:val="center"/>
          </w:tcPr>
          <w:p w14:paraId="75130376">
            <w:pPr>
              <w:keepNext w:val="0"/>
              <w:keepLines w:val="0"/>
              <w:widowControl/>
              <w:numPr>
                <w:ilvl w:val="0"/>
                <w:numId w:val="0"/>
              </w:numPr>
              <w:suppressLineNumbers w:val="0"/>
              <w:spacing w:before="90" w:beforeAutospacing="0" w:after="0" w:afterAutospacing="1"/>
              <w:ind w:left="-360" w:leftChars="0"/>
              <w:rPr>
                <w:rFonts w:hint="eastAsia" w:ascii="楷体" w:hAnsi="楷体" w:eastAsia="宋体" w:cs="楷体"/>
                <w:i w:val="0"/>
                <w:iCs w:val="0"/>
                <w:color w:val="auto"/>
                <w:kern w:val="0"/>
                <w:sz w:val="24"/>
                <w:szCs w:val="24"/>
                <w:u w:val="none"/>
                <w:lang w:val="en-US" w:eastAsia="zh-CN" w:bidi="ar"/>
              </w:rPr>
            </w:pPr>
            <w:r>
              <w:rPr>
                <w:rFonts w:hint="eastAsia" w:ascii="楷体" w:hAnsi="楷体" w:eastAsia="楷体" w:cs="楷体"/>
                <w:i w:val="0"/>
                <w:iCs w:val="0"/>
                <w:color w:val="auto"/>
                <w:kern w:val="0"/>
                <w:sz w:val="24"/>
                <w:szCs w:val="24"/>
                <w:u w:val="none"/>
                <w:lang w:val="en-US" w:eastAsia="zh-CN" w:bidi="ar"/>
              </w:rPr>
              <w:t>所有通过资格审查的有效报价，去掉一个最高价和一个最低价后，取算术平均值作为基准价。有效报价不足5家时，直接取所有有效报价的算术平均值作为基准价。报价等于基准价得20分。报价高于基准价，每高1%扣1.5分，扣完为止。报价低于基准价，每低1%扣2分，扣完为止。</w:t>
            </w:r>
          </w:p>
        </w:tc>
      </w:tr>
      <w:tr w14:paraId="1EAD8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 w:hRule="atLeast"/>
        </w:trPr>
        <w:tc>
          <w:tcPr>
            <w:tcW w:w="795" w:type="dxa"/>
            <w:noWrap w:val="0"/>
            <w:vAlign w:val="center"/>
          </w:tcPr>
          <w:p w14:paraId="6C8DB22B">
            <w:pPr>
              <w:pStyle w:val="9"/>
              <w:ind w:left="0" w:leftChars="0" w:firstLine="0" w:firstLineChars="0"/>
              <w:jc w:val="center"/>
              <w:rPr>
                <w:rFonts w:hint="default" w:ascii="楷体" w:hAnsi="楷体" w:eastAsia="楷体" w:cs="楷体"/>
                <w:i w:val="0"/>
                <w:iCs w:val="0"/>
                <w:color w:val="auto"/>
                <w:kern w:val="0"/>
                <w:sz w:val="24"/>
                <w:szCs w:val="24"/>
                <w:u w:val="none"/>
                <w:lang w:val="en-US" w:eastAsia="zh-CN" w:bidi="ar"/>
              </w:rPr>
            </w:pPr>
            <w:r>
              <w:rPr>
                <w:rFonts w:hint="eastAsia" w:ascii="楷体" w:hAnsi="楷体" w:eastAsia="楷体" w:cs="楷体"/>
                <w:i w:val="0"/>
                <w:iCs w:val="0"/>
                <w:color w:val="auto"/>
                <w:kern w:val="0"/>
                <w:sz w:val="24"/>
                <w:szCs w:val="24"/>
                <w:u w:val="none"/>
                <w:lang w:val="en-US" w:eastAsia="zh-CN" w:bidi="ar"/>
              </w:rPr>
              <w:t>2</w:t>
            </w:r>
          </w:p>
        </w:tc>
        <w:tc>
          <w:tcPr>
            <w:tcW w:w="1006" w:type="dxa"/>
            <w:shd w:val="clear" w:color="auto" w:fill="auto"/>
            <w:noWrap w:val="0"/>
            <w:vAlign w:val="center"/>
          </w:tcPr>
          <w:p w14:paraId="7788BAFA">
            <w:pPr>
              <w:pStyle w:val="9"/>
              <w:ind w:left="0" w:leftChars="0" w:firstLine="0" w:firstLineChars="0"/>
              <w:jc w:val="center"/>
              <w:rPr>
                <w:rFonts w:hint="default" w:ascii="楷体" w:hAnsi="楷体" w:eastAsia="楷体" w:cs="楷体"/>
                <w:i w:val="0"/>
                <w:iCs w:val="0"/>
                <w:color w:val="auto"/>
                <w:kern w:val="0"/>
                <w:sz w:val="24"/>
                <w:szCs w:val="24"/>
                <w:u w:val="none"/>
                <w:lang w:val="en-US" w:eastAsia="zh-CN" w:bidi="ar"/>
              </w:rPr>
            </w:pPr>
            <w:r>
              <w:rPr>
                <w:rFonts w:hint="eastAsia" w:ascii="楷体" w:hAnsi="楷体" w:eastAsia="楷体" w:cs="楷体"/>
                <w:i w:val="0"/>
                <w:iCs w:val="0"/>
                <w:color w:val="auto"/>
                <w:kern w:val="0"/>
                <w:sz w:val="24"/>
                <w:szCs w:val="24"/>
                <w:u w:val="none"/>
                <w:lang w:val="en-US" w:eastAsia="zh-CN" w:bidi="ar"/>
              </w:rPr>
              <w:t>从业年限</w:t>
            </w:r>
          </w:p>
        </w:tc>
        <w:tc>
          <w:tcPr>
            <w:tcW w:w="600" w:type="dxa"/>
            <w:shd w:val="clear" w:color="auto" w:fill="auto"/>
            <w:noWrap w:val="0"/>
            <w:vAlign w:val="center"/>
          </w:tcPr>
          <w:p w14:paraId="274F5888">
            <w:pPr>
              <w:pStyle w:val="9"/>
              <w:ind w:left="0" w:leftChars="0" w:firstLine="0" w:firstLineChars="0"/>
              <w:jc w:val="center"/>
              <w:rPr>
                <w:rFonts w:hint="default" w:ascii="楷体" w:hAnsi="楷体" w:eastAsia="楷体" w:cs="楷体"/>
                <w:i w:val="0"/>
                <w:iCs w:val="0"/>
                <w:color w:val="auto"/>
                <w:kern w:val="0"/>
                <w:sz w:val="24"/>
                <w:szCs w:val="24"/>
                <w:u w:val="none"/>
                <w:lang w:val="en-US" w:eastAsia="zh-CN" w:bidi="ar"/>
              </w:rPr>
            </w:pPr>
            <w:r>
              <w:rPr>
                <w:rFonts w:hint="eastAsia" w:ascii="楷体" w:hAnsi="楷体" w:eastAsia="楷体" w:cs="楷体"/>
                <w:i w:val="0"/>
                <w:iCs w:val="0"/>
                <w:color w:val="auto"/>
                <w:kern w:val="0"/>
                <w:sz w:val="24"/>
                <w:szCs w:val="24"/>
                <w:u w:val="none"/>
                <w:lang w:val="en-US" w:eastAsia="zh-CN" w:bidi="ar"/>
              </w:rPr>
              <w:t>10</w:t>
            </w:r>
          </w:p>
        </w:tc>
        <w:tc>
          <w:tcPr>
            <w:tcW w:w="7350" w:type="dxa"/>
            <w:shd w:val="clear" w:color="auto" w:fill="auto"/>
            <w:noWrap w:val="0"/>
            <w:vAlign w:val="center"/>
          </w:tcPr>
          <w:p w14:paraId="1BA7BE2E">
            <w:pPr>
              <w:pStyle w:val="9"/>
              <w:numPr>
                <w:ilvl w:val="0"/>
                <w:numId w:val="0"/>
              </w:numPr>
              <w:ind w:leftChars="0"/>
              <w:jc w:val="left"/>
              <w:rPr>
                <w:rFonts w:hint="eastAsia" w:ascii="楷体" w:hAnsi="楷体" w:eastAsia="楷体" w:cs="楷体"/>
                <w:i w:val="0"/>
                <w:iCs w:val="0"/>
                <w:color w:val="auto"/>
                <w:kern w:val="0"/>
                <w:sz w:val="24"/>
                <w:szCs w:val="24"/>
                <w:u w:val="none"/>
                <w:lang w:val="en-US" w:eastAsia="zh-CN" w:bidi="ar"/>
              </w:rPr>
            </w:pPr>
            <w:r>
              <w:rPr>
                <w:rFonts w:hint="eastAsia" w:ascii="楷体" w:hAnsi="楷体" w:eastAsia="楷体" w:cs="楷体"/>
                <w:i w:val="0"/>
                <w:iCs w:val="0"/>
                <w:color w:val="auto"/>
                <w:kern w:val="0"/>
                <w:sz w:val="24"/>
                <w:szCs w:val="24"/>
                <w:u w:val="none"/>
                <w:lang w:val="en-US" w:eastAsia="zh-CN" w:bidi="ar"/>
              </w:rPr>
              <w:t>从事大型餐饮/宴会服务5年以上得10分；3-5年得8分；1-3年得5分；1年以下得0分。</w:t>
            </w:r>
          </w:p>
        </w:tc>
      </w:tr>
      <w:tr w14:paraId="08308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795" w:type="dxa"/>
            <w:noWrap w:val="0"/>
            <w:vAlign w:val="center"/>
          </w:tcPr>
          <w:p w14:paraId="328A7E0A">
            <w:pPr>
              <w:pStyle w:val="9"/>
              <w:ind w:left="0" w:leftChars="0" w:firstLine="0" w:firstLineChars="0"/>
              <w:jc w:val="center"/>
              <w:rPr>
                <w:rFonts w:hint="default" w:ascii="楷体" w:hAnsi="楷体" w:eastAsia="楷体" w:cs="楷体"/>
                <w:i w:val="0"/>
                <w:iCs w:val="0"/>
                <w:color w:val="auto"/>
                <w:kern w:val="0"/>
                <w:sz w:val="24"/>
                <w:szCs w:val="24"/>
                <w:u w:val="none"/>
                <w:lang w:val="en-US" w:eastAsia="zh-CN" w:bidi="ar"/>
              </w:rPr>
            </w:pPr>
            <w:r>
              <w:rPr>
                <w:rFonts w:hint="eastAsia" w:ascii="楷体" w:hAnsi="楷体" w:eastAsia="楷体" w:cs="楷体"/>
                <w:i w:val="0"/>
                <w:iCs w:val="0"/>
                <w:color w:val="auto"/>
                <w:kern w:val="0"/>
                <w:sz w:val="24"/>
                <w:szCs w:val="24"/>
                <w:u w:val="none"/>
                <w:lang w:val="en-US" w:eastAsia="zh-CN" w:bidi="ar"/>
              </w:rPr>
              <w:t>3</w:t>
            </w:r>
          </w:p>
        </w:tc>
        <w:tc>
          <w:tcPr>
            <w:tcW w:w="1006" w:type="dxa"/>
            <w:shd w:val="clear" w:color="auto" w:fill="auto"/>
            <w:noWrap w:val="0"/>
            <w:vAlign w:val="center"/>
          </w:tcPr>
          <w:p w14:paraId="537CADA0">
            <w:pPr>
              <w:pStyle w:val="9"/>
              <w:ind w:left="0" w:leftChars="0" w:firstLine="0" w:firstLineChars="0"/>
              <w:jc w:val="center"/>
              <w:rPr>
                <w:rFonts w:hint="eastAsia" w:ascii="楷体" w:hAnsi="楷体" w:eastAsia="楷体" w:cs="楷体"/>
                <w:i w:val="0"/>
                <w:iCs w:val="0"/>
                <w:color w:val="auto"/>
                <w:kern w:val="0"/>
                <w:sz w:val="24"/>
                <w:szCs w:val="24"/>
                <w:u w:val="none"/>
                <w:lang w:val="en-US" w:eastAsia="zh-CN" w:bidi="ar"/>
              </w:rPr>
            </w:pPr>
            <w:r>
              <w:rPr>
                <w:rFonts w:hint="eastAsia" w:ascii="楷体" w:hAnsi="楷体" w:eastAsia="楷体" w:cs="楷体"/>
                <w:i w:val="0"/>
                <w:iCs w:val="0"/>
                <w:color w:val="auto"/>
                <w:kern w:val="0"/>
                <w:sz w:val="24"/>
                <w:szCs w:val="24"/>
                <w:u w:val="none"/>
                <w:lang w:val="en-US" w:eastAsia="zh-CN" w:bidi="ar"/>
              </w:rPr>
              <w:t>类似规模案例</w:t>
            </w:r>
          </w:p>
        </w:tc>
        <w:tc>
          <w:tcPr>
            <w:tcW w:w="600" w:type="dxa"/>
            <w:shd w:val="clear" w:color="auto" w:fill="auto"/>
            <w:noWrap w:val="0"/>
            <w:vAlign w:val="center"/>
          </w:tcPr>
          <w:p w14:paraId="5EE23C17">
            <w:pPr>
              <w:pStyle w:val="9"/>
              <w:ind w:left="0" w:leftChars="0" w:firstLine="0" w:firstLineChars="0"/>
              <w:jc w:val="center"/>
              <w:rPr>
                <w:rFonts w:hint="default" w:ascii="楷体" w:hAnsi="楷体" w:eastAsia="楷体" w:cs="楷体"/>
                <w:i w:val="0"/>
                <w:iCs w:val="0"/>
                <w:color w:val="auto"/>
                <w:kern w:val="0"/>
                <w:sz w:val="24"/>
                <w:szCs w:val="24"/>
                <w:u w:val="none"/>
                <w:lang w:val="en-US" w:eastAsia="zh-CN" w:bidi="ar"/>
              </w:rPr>
            </w:pPr>
            <w:r>
              <w:rPr>
                <w:rFonts w:hint="eastAsia" w:ascii="楷体" w:hAnsi="楷体" w:eastAsia="楷体" w:cs="楷体"/>
                <w:i w:val="0"/>
                <w:iCs w:val="0"/>
                <w:color w:val="auto"/>
                <w:kern w:val="0"/>
                <w:sz w:val="24"/>
                <w:szCs w:val="24"/>
                <w:u w:val="none"/>
                <w:lang w:val="en-US" w:eastAsia="zh-CN" w:bidi="ar"/>
              </w:rPr>
              <w:t>20</w:t>
            </w:r>
          </w:p>
        </w:tc>
        <w:tc>
          <w:tcPr>
            <w:tcW w:w="7350" w:type="dxa"/>
            <w:shd w:val="clear" w:color="auto" w:fill="auto"/>
            <w:noWrap w:val="0"/>
            <w:vAlign w:val="center"/>
          </w:tcPr>
          <w:p w14:paraId="53C3967B">
            <w:pPr>
              <w:pStyle w:val="9"/>
              <w:numPr>
                <w:ilvl w:val="0"/>
                <w:numId w:val="0"/>
              </w:numPr>
              <w:ind w:leftChars="0"/>
              <w:jc w:val="left"/>
              <w:rPr>
                <w:rFonts w:hint="eastAsia" w:ascii="楷体" w:hAnsi="楷体" w:eastAsia="楷体" w:cs="楷体"/>
                <w:i w:val="0"/>
                <w:iCs w:val="0"/>
                <w:color w:val="auto"/>
                <w:kern w:val="0"/>
                <w:sz w:val="24"/>
                <w:szCs w:val="24"/>
                <w:u w:val="none"/>
                <w:lang w:val="en-US" w:eastAsia="zh-CN" w:bidi="ar"/>
              </w:rPr>
            </w:pPr>
            <w:r>
              <w:rPr>
                <w:rFonts w:hint="eastAsia" w:ascii="楷体" w:hAnsi="楷体" w:eastAsia="楷体" w:cs="楷体"/>
                <w:i w:val="0"/>
                <w:iCs w:val="0"/>
                <w:color w:val="auto"/>
                <w:kern w:val="0"/>
                <w:sz w:val="24"/>
                <w:szCs w:val="24"/>
                <w:u w:val="none"/>
                <w:lang w:val="en-US" w:eastAsia="zh-CN" w:bidi="ar"/>
              </w:rPr>
              <w:t>近3年承接外餐服务单场800人（或80桌）以上宴会案例，每提供1个得10分，最高得20分。需提供合同关键页或甲方证明。</w:t>
            </w:r>
          </w:p>
        </w:tc>
      </w:tr>
      <w:tr w14:paraId="0EBE4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 w:hRule="atLeast"/>
        </w:trPr>
        <w:tc>
          <w:tcPr>
            <w:tcW w:w="795" w:type="dxa"/>
            <w:noWrap w:val="0"/>
            <w:vAlign w:val="center"/>
          </w:tcPr>
          <w:p w14:paraId="3DFC4312">
            <w:pPr>
              <w:pStyle w:val="9"/>
              <w:ind w:left="0" w:leftChars="0" w:firstLine="0" w:firstLineChars="0"/>
              <w:jc w:val="center"/>
              <w:rPr>
                <w:rFonts w:hint="default" w:ascii="楷体" w:hAnsi="楷体" w:eastAsia="楷体" w:cs="楷体"/>
                <w:i w:val="0"/>
                <w:iCs w:val="0"/>
                <w:color w:val="auto"/>
                <w:kern w:val="0"/>
                <w:sz w:val="24"/>
                <w:szCs w:val="24"/>
                <w:u w:val="none"/>
                <w:lang w:val="en-US" w:eastAsia="zh-CN" w:bidi="ar"/>
              </w:rPr>
            </w:pPr>
            <w:r>
              <w:rPr>
                <w:rFonts w:hint="eastAsia" w:ascii="楷体" w:hAnsi="楷体" w:eastAsia="楷体" w:cs="楷体"/>
                <w:i w:val="0"/>
                <w:iCs w:val="0"/>
                <w:color w:val="auto"/>
                <w:kern w:val="0"/>
                <w:sz w:val="24"/>
                <w:szCs w:val="24"/>
                <w:u w:val="none"/>
                <w:lang w:val="en-US" w:eastAsia="zh-CN" w:bidi="ar"/>
              </w:rPr>
              <w:t>4</w:t>
            </w:r>
          </w:p>
        </w:tc>
        <w:tc>
          <w:tcPr>
            <w:tcW w:w="1006" w:type="dxa"/>
            <w:shd w:val="clear" w:color="auto" w:fill="auto"/>
            <w:noWrap w:val="0"/>
            <w:vAlign w:val="center"/>
          </w:tcPr>
          <w:p w14:paraId="240157D4">
            <w:pPr>
              <w:pStyle w:val="9"/>
              <w:ind w:left="0" w:leftChars="0" w:firstLine="0" w:firstLineChars="0"/>
              <w:jc w:val="center"/>
              <w:rPr>
                <w:rFonts w:hint="eastAsia" w:ascii="楷体" w:hAnsi="楷体" w:eastAsia="楷体" w:cs="楷体"/>
                <w:i w:val="0"/>
                <w:iCs w:val="0"/>
                <w:color w:val="auto"/>
                <w:kern w:val="0"/>
                <w:sz w:val="24"/>
                <w:szCs w:val="24"/>
                <w:u w:val="none"/>
                <w:lang w:val="en-US" w:eastAsia="zh-CN" w:bidi="ar"/>
              </w:rPr>
            </w:pPr>
            <w:r>
              <w:rPr>
                <w:rFonts w:hint="eastAsia" w:ascii="楷体" w:hAnsi="楷体" w:eastAsia="楷体" w:cs="楷体"/>
                <w:i w:val="0"/>
                <w:iCs w:val="0"/>
                <w:color w:val="auto"/>
                <w:kern w:val="0"/>
                <w:sz w:val="24"/>
                <w:szCs w:val="24"/>
                <w:u w:val="none"/>
                <w:lang w:val="en-US" w:eastAsia="zh-CN" w:bidi="ar"/>
              </w:rPr>
              <w:t>菜单方案</w:t>
            </w:r>
          </w:p>
        </w:tc>
        <w:tc>
          <w:tcPr>
            <w:tcW w:w="600" w:type="dxa"/>
            <w:shd w:val="clear" w:color="auto" w:fill="auto"/>
            <w:noWrap w:val="0"/>
            <w:vAlign w:val="center"/>
          </w:tcPr>
          <w:p w14:paraId="52405B1C">
            <w:pPr>
              <w:pStyle w:val="9"/>
              <w:ind w:left="0" w:leftChars="0" w:firstLine="0" w:firstLineChars="0"/>
              <w:jc w:val="center"/>
              <w:rPr>
                <w:rFonts w:hint="default" w:ascii="楷体" w:hAnsi="楷体" w:eastAsia="楷体" w:cs="楷体"/>
                <w:i w:val="0"/>
                <w:iCs w:val="0"/>
                <w:color w:val="auto"/>
                <w:kern w:val="0"/>
                <w:sz w:val="24"/>
                <w:szCs w:val="24"/>
                <w:u w:val="none"/>
                <w:lang w:val="en-US" w:eastAsia="zh-CN" w:bidi="ar"/>
              </w:rPr>
            </w:pPr>
            <w:r>
              <w:rPr>
                <w:rFonts w:hint="eastAsia" w:ascii="楷体" w:hAnsi="楷体" w:eastAsia="楷体" w:cs="楷体"/>
                <w:i w:val="0"/>
                <w:iCs w:val="0"/>
                <w:color w:val="auto"/>
                <w:kern w:val="0"/>
                <w:sz w:val="24"/>
                <w:szCs w:val="24"/>
                <w:u w:val="none"/>
                <w:lang w:val="en-US" w:eastAsia="zh-CN" w:bidi="ar"/>
              </w:rPr>
              <w:t>10</w:t>
            </w:r>
          </w:p>
        </w:tc>
        <w:tc>
          <w:tcPr>
            <w:tcW w:w="7350" w:type="dxa"/>
            <w:shd w:val="clear" w:color="auto" w:fill="auto"/>
            <w:noWrap w:val="0"/>
            <w:vAlign w:val="center"/>
          </w:tcPr>
          <w:p w14:paraId="4C03953A">
            <w:pPr>
              <w:pStyle w:val="9"/>
              <w:numPr>
                <w:ilvl w:val="0"/>
                <w:numId w:val="0"/>
              </w:numPr>
              <w:ind w:leftChars="0"/>
              <w:jc w:val="left"/>
              <w:rPr>
                <w:rFonts w:hint="eastAsia" w:ascii="楷体" w:hAnsi="楷体" w:eastAsia="楷体" w:cs="楷体"/>
                <w:i w:val="0"/>
                <w:iCs w:val="0"/>
                <w:color w:val="auto"/>
                <w:kern w:val="0"/>
                <w:sz w:val="24"/>
                <w:szCs w:val="24"/>
                <w:u w:val="none"/>
                <w:lang w:val="en-US" w:eastAsia="zh-CN" w:bidi="ar"/>
              </w:rPr>
            </w:pPr>
            <w:r>
              <w:rPr>
                <w:rFonts w:hint="eastAsia" w:ascii="楷体" w:hAnsi="楷体" w:eastAsia="楷体" w:cs="楷体"/>
                <w:i w:val="0"/>
                <w:iCs w:val="0"/>
                <w:color w:val="auto"/>
                <w:kern w:val="0"/>
                <w:sz w:val="24"/>
                <w:szCs w:val="24"/>
                <w:u w:val="none"/>
                <w:lang w:val="en-US" w:eastAsia="zh-CN" w:bidi="ar"/>
              </w:rPr>
              <w:t>菜品搭配合理、荤素均衡、能体现第100届纪念意义，得8-10分；搭配较好得6-8分；一般得4-6分；未提供得0分。</w:t>
            </w:r>
          </w:p>
        </w:tc>
      </w:tr>
      <w:tr w14:paraId="50E12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 w:hRule="atLeast"/>
        </w:trPr>
        <w:tc>
          <w:tcPr>
            <w:tcW w:w="795" w:type="dxa"/>
            <w:noWrap w:val="0"/>
            <w:vAlign w:val="center"/>
          </w:tcPr>
          <w:p w14:paraId="2A956C6A">
            <w:pPr>
              <w:pStyle w:val="9"/>
              <w:ind w:left="0" w:leftChars="0" w:firstLine="0" w:firstLineChars="0"/>
              <w:jc w:val="center"/>
              <w:rPr>
                <w:rFonts w:hint="default" w:ascii="楷体" w:hAnsi="楷体" w:eastAsia="楷体" w:cs="楷体"/>
                <w:i w:val="0"/>
                <w:iCs w:val="0"/>
                <w:color w:val="auto"/>
                <w:kern w:val="0"/>
                <w:sz w:val="24"/>
                <w:szCs w:val="24"/>
                <w:u w:val="none"/>
                <w:lang w:val="en-US" w:eastAsia="zh-CN" w:bidi="ar"/>
              </w:rPr>
            </w:pPr>
            <w:r>
              <w:rPr>
                <w:rFonts w:hint="eastAsia" w:ascii="楷体" w:hAnsi="楷体" w:eastAsia="楷体" w:cs="楷体"/>
                <w:i w:val="0"/>
                <w:iCs w:val="0"/>
                <w:color w:val="auto"/>
                <w:kern w:val="0"/>
                <w:sz w:val="24"/>
                <w:szCs w:val="24"/>
                <w:u w:val="none"/>
                <w:lang w:val="en-US" w:eastAsia="zh-CN" w:bidi="ar"/>
              </w:rPr>
              <w:t>5</w:t>
            </w:r>
          </w:p>
        </w:tc>
        <w:tc>
          <w:tcPr>
            <w:tcW w:w="1006" w:type="dxa"/>
            <w:shd w:val="clear" w:color="auto" w:fill="auto"/>
            <w:noWrap w:val="0"/>
            <w:vAlign w:val="center"/>
          </w:tcPr>
          <w:p w14:paraId="72125D3A">
            <w:pPr>
              <w:pStyle w:val="9"/>
              <w:ind w:left="0" w:leftChars="0" w:firstLine="0" w:firstLineChars="0"/>
              <w:jc w:val="center"/>
              <w:rPr>
                <w:rFonts w:hint="eastAsia" w:ascii="楷体" w:hAnsi="楷体" w:eastAsia="楷体" w:cs="楷体"/>
                <w:i w:val="0"/>
                <w:iCs w:val="0"/>
                <w:color w:val="auto"/>
                <w:kern w:val="0"/>
                <w:sz w:val="24"/>
                <w:szCs w:val="24"/>
                <w:u w:val="none"/>
                <w:lang w:val="en-US" w:eastAsia="zh-CN" w:bidi="ar"/>
              </w:rPr>
            </w:pPr>
            <w:r>
              <w:rPr>
                <w:rFonts w:hint="eastAsia" w:ascii="楷体" w:hAnsi="楷体" w:eastAsia="楷体" w:cs="楷体"/>
                <w:i w:val="0"/>
                <w:iCs w:val="0"/>
                <w:color w:val="auto"/>
                <w:kern w:val="0"/>
                <w:sz w:val="24"/>
                <w:szCs w:val="24"/>
                <w:u w:val="none"/>
                <w:lang w:val="en-US" w:eastAsia="zh-CN" w:bidi="ar"/>
              </w:rPr>
              <w:t>现场服务方案</w:t>
            </w:r>
          </w:p>
        </w:tc>
        <w:tc>
          <w:tcPr>
            <w:tcW w:w="600" w:type="dxa"/>
            <w:shd w:val="clear" w:color="auto" w:fill="auto"/>
            <w:noWrap w:val="0"/>
            <w:vAlign w:val="center"/>
          </w:tcPr>
          <w:p w14:paraId="4560FC26">
            <w:pPr>
              <w:pStyle w:val="9"/>
              <w:ind w:left="0" w:leftChars="0" w:firstLine="0" w:firstLineChars="0"/>
              <w:jc w:val="center"/>
              <w:rPr>
                <w:rFonts w:hint="default" w:ascii="楷体" w:hAnsi="楷体" w:eastAsia="楷体" w:cs="楷体"/>
                <w:i w:val="0"/>
                <w:iCs w:val="0"/>
                <w:color w:val="auto"/>
                <w:kern w:val="0"/>
                <w:sz w:val="24"/>
                <w:szCs w:val="24"/>
                <w:u w:val="none"/>
                <w:lang w:val="en-US" w:eastAsia="zh-CN" w:bidi="ar"/>
              </w:rPr>
            </w:pPr>
            <w:r>
              <w:rPr>
                <w:rFonts w:hint="eastAsia" w:ascii="楷体" w:hAnsi="楷体" w:eastAsia="楷体" w:cs="楷体"/>
                <w:i w:val="0"/>
                <w:iCs w:val="0"/>
                <w:color w:val="auto"/>
                <w:kern w:val="0"/>
                <w:sz w:val="24"/>
                <w:szCs w:val="24"/>
                <w:u w:val="none"/>
                <w:lang w:val="en-US" w:eastAsia="zh-CN" w:bidi="ar"/>
              </w:rPr>
              <w:t>10</w:t>
            </w:r>
          </w:p>
        </w:tc>
        <w:tc>
          <w:tcPr>
            <w:tcW w:w="7350" w:type="dxa"/>
            <w:shd w:val="clear" w:color="auto" w:fill="auto"/>
            <w:noWrap w:val="0"/>
            <w:vAlign w:val="center"/>
          </w:tcPr>
          <w:p w14:paraId="6CAACAD5">
            <w:pPr>
              <w:pStyle w:val="9"/>
              <w:numPr>
                <w:ilvl w:val="0"/>
                <w:numId w:val="0"/>
              </w:numPr>
              <w:ind w:leftChars="0"/>
              <w:jc w:val="left"/>
              <w:rPr>
                <w:rFonts w:hint="eastAsia" w:ascii="楷体" w:hAnsi="楷体" w:eastAsia="楷体" w:cs="楷体"/>
                <w:i w:val="0"/>
                <w:iCs w:val="0"/>
                <w:color w:val="auto"/>
                <w:kern w:val="0"/>
                <w:sz w:val="24"/>
                <w:szCs w:val="24"/>
                <w:u w:val="none"/>
                <w:lang w:val="en-US" w:eastAsia="zh-CN" w:bidi="ar"/>
              </w:rPr>
            </w:pPr>
            <w:r>
              <w:rPr>
                <w:rFonts w:hint="eastAsia" w:ascii="楷体" w:hAnsi="楷体" w:eastAsia="楷体" w:cs="楷体"/>
                <w:i w:val="0"/>
                <w:iCs w:val="0"/>
                <w:color w:val="auto"/>
                <w:kern w:val="0"/>
                <w:sz w:val="24"/>
                <w:szCs w:val="24"/>
                <w:u w:val="none"/>
                <w:lang w:val="en-US" w:eastAsia="zh-CN" w:bidi="ar"/>
              </w:rPr>
              <w:t>服务人员配置充足（明确人数、桌均服务比）、上菜流程清晰、时间控制合理，得8-10分；基本可行得4-6分；方案粗糙得0-2分。</w:t>
            </w:r>
          </w:p>
        </w:tc>
      </w:tr>
      <w:tr w14:paraId="21E8F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 w:hRule="atLeast"/>
        </w:trPr>
        <w:tc>
          <w:tcPr>
            <w:tcW w:w="795" w:type="dxa"/>
            <w:noWrap w:val="0"/>
            <w:vAlign w:val="center"/>
          </w:tcPr>
          <w:p w14:paraId="1EB3BABF">
            <w:pPr>
              <w:pStyle w:val="9"/>
              <w:ind w:left="0" w:leftChars="0" w:firstLine="0" w:firstLineChars="0"/>
              <w:jc w:val="center"/>
              <w:rPr>
                <w:rFonts w:hint="default" w:ascii="楷体" w:hAnsi="楷体" w:eastAsia="楷体" w:cs="楷体"/>
                <w:i w:val="0"/>
                <w:iCs w:val="0"/>
                <w:color w:val="auto"/>
                <w:kern w:val="0"/>
                <w:sz w:val="24"/>
                <w:szCs w:val="24"/>
                <w:u w:val="none"/>
                <w:lang w:val="en-US" w:eastAsia="zh-CN" w:bidi="ar"/>
              </w:rPr>
            </w:pPr>
            <w:r>
              <w:rPr>
                <w:rFonts w:hint="eastAsia" w:ascii="楷体" w:hAnsi="楷体" w:eastAsia="楷体" w:cs="楷体"/>
                <w:i w:val="0"/>
                <w:iCs w:val="0"/>
                <w:color w:val="auto"/>
                <w:kern w:val="0"/>
                <w:sz w:val="24"/>
                <w:szCs w:val="24"/>
                <w:u w:val="none"/>
                <w:lang w:val="en-US" w:eastAsia="zh-CN" w:bidi="ar"/>
              </w:rPr>
              <w:t>6</w:t>
            </w:r>
          </w:p>
        </w:tc>
        <w:tc>
          <w:tcPr>
            <w:tcW w:w="1006" w:type="dxa"/>
            <w:shd w:val="clear" w:color="auto" w:fill="auto"/>
            <w:noWrap w:val="0"/>
            <w:vAlign w:val="center"/>
          </w:tcPr>
          <w:p w14:paraId="045C1AA0">
            <w:pPr>
              <w:pStyle w:val="9"/>
              <w:ind w:left="0" w:leftChars="0" w:firstLine="0" w:firstLineChars="0"/>
              <w:jc w:val="center"/>
              <w:rPr>
                <w:rFonts w:hint="eastAsia" w:ascii="楷体" w:hAnsi="楷体" w:eastAsia="楷体" w:cs="楷体"/>
                <w:i w:val="0"/>
                <w:iCs w:val="0"/>
                <w:color w:val="auto"/>
                <w:kern w:val="0"/>
                <w:sz w:val="24"/>
                <w:szCs w:val="24"/>
                <w:u w:val="none"/>
                <w:lang w:val="en-US" w:eastAsia="zh-CN" w:bidi="ar"/>
              </w:rPr>
            </w:pPr>
            <w:r>
              <w:rPr>
                <w:rFonts w:hint="eastAsia" w:ascii="楷体" w:hAnsi="楷体" w:eastAsia="楷体" w:cs="楷体"/>
                <w:i w:val="0"/>
                <w:iCs w:val="0"/>
                <w:color w:val="auto"/>
                <w:kern w:val="0"/>
                <w:sz w:val="24"/>
                <w:szCs w:val="24"/>
                <w:u w:val="none"/>
                <w:lang w:val="en-US" w:eastAsia="zh-CN" w:bidi="ar"/>
              </w:rPr>
              <w:t>食品安全保障</w:t>
            </w:r>
          </w:p>
        </w:tc>
        <w:tc>
          <w:tcPr>
            <w:tcW w:w="600" w:type="dxa"/>
            <w:shd w:val="clear" w:color="auto" w:fill="auto"/>
            <w:noWrap w:val="0"/>
            <w:vAlign w:val="center"/>
          </w:tcPr>
          <w:p w14:paraId="0DF26E86">
            <w:pPr>
              <w:pStyle w:val="9"/>
              <w:ind w:left="0" w:leftChars="0" w:firstLine="0" w:firstLineChars="0"/>
              <w:jc w:val="center"/>
              <w:rPr>
                <w:rFonts w:hint="default" w:ascii="楷体" w:hAnsi="楷体" w:eastAsia="楷体" w:cs="楷体"/>
                <w:i w:val="0"/>
                <w:iCs w:val="0"/>
                <w:color w:val="auto"/>
                <w:kern w:val="0"/>
                <w:sz w:val="24"/>
                <w:szCs w:val="24"/>
                <w:u w:val="none"/>
                <w:lang w:val="en-US" w:eastAsia="zh-CN" w:bidi="ar"/>
              </w:rPr>
            </w:pPr>
            <w:r>
              <w:rPr>
                <w:rFonts w:hint="eastAsia" w:ascii="楷体" w:hAnsi="楷体" w:eastAsia="楷体" w:cs="楷体"/>
                <w:i w:val="0"/>
                <w:iCs w:val="0"/>
                <w:color w:val="auto"/>
                <w:kern w:val="0"/>
                <w:sz w:val="24"/>
                <w:szCs w:val="24"/>
                <w:u w:val="none"/>
                <w:lang w:val="en-US" w:eastAsia="zh-CN" w:bidi="ar"/>
              </w:rPr>
              <w:t>10</w:t>
            </w:r>
          </w:p>
        </w:tc>
        <w:tc>
          <w:tcPr>
            <w:tcW w:w="7350" w:type="dxa"/>
            <w:shd w:val="clear" w:color="auto" w:fill="auto"/>
            <w:noWrap w:val="0"/>
            <w:vAlign w:val="center"/>
          </w:tcPr>
          <w:p w14:paraId="2675A339">
            <w:pPr>
              <w:pStyle w:val="9"/>
              <w:numPr>
                <w:ilvl w:val="0"/>
                <w:numId w:val="0"/>
              </w:numPr>
              <w:ind w:leftChars="0"/>
              <w:jc w:val="left"/>
              <w:rPr>
                <w:rFonts w:hint="eastAsia" w:ascii="楷体" w:hAnsi="楷体" w:eastAsia="楷体" w:cs="楷体"/>
                <w:i w:val="0"/>
                <w:iCs w:val="0"/>
                <w:color w:val="auto"/>
                <w:kern w:val="0"/>
                <w:sz w:val="24"/>
                <w:szCs w:val="24"/>
                <w:u w:val="none"/>
                <w:lang w:val="en-US" w:eastAsia="zh-CN" w:bidi="ar"/>
              </w:rPr>
            </w:pPr>
            <w:r>
              <w:rPr>
                <w:rFonts w:hint="eastAsia" w:ascii="楷体" w:hAnsi="楷体" w:eastAsia="楷体" w:cs="楷体"/>
                <w:i w:val="0"/>
                <w:iCs w:val="0"/>
                <w:color w:val="auto"/>
                <w:kern w:val="0"/>
                <w:sz w:val="24"/>
                <w:szCs w:val="24"/>
                <w:u w:val="none"/>
                <w:lang w:val="en-US" w:eastAsia="zh-CN" w:bidi="ar"/>
              </w:rPr>
              <w:t>有完整食材采购溯源、留样制度、应急预案，得8-10分；有基本保障措施得4-6分；措施不全得0-2分。</w:t>
            </w:r>
          </w:p>
        </w:tc>
      </w:tr>
      <w:tr w14:paraId="6630A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 w:hRule="atLeast"/>
        </w:trPr>
        <w:tc>
          <w:tcPr>
            <w:tcW w:w="795" w:type="dxa"/>
            <w:noWrap w:val="0"/>
            <w:vAlign w:val="center"/>
          </w:tcPr>
          <w:p w14:paraId="60CD98A4">
            <w:pPr>
              <w:pStyle w:val="9"/>
              <w:ind w:left="0" w:leftChars="0" w:firstLine="0" w:firstLineChars="0"/>
              <w:jc w:val="center"/>
              <w:rPr>
                <w:rFonts w:hint="default" w:ascii="楷体" w:hAnsi="楷体" w:eastAsia="楷体" w:cs="楷体"/>
                <w:i w:val="0"/>
                <w:iCs w:val="0"/>
                <w:color w:val="auto"/>
                <w:kern w:val="0"/>
                <w:sz w:val="24"/>
                <w:szCs w:val="24"/>
                <w:u w:val="none"/>
                <w:lang w:val="en-US" w:eastAsia="zh-CN" w:bidi="ar"/>
              </w:rPr>
            </w:pPr>
            <w:r>
              <w:rPr>
                <w:rFonts w:hint="eastAsia" w:ascii="楷体" w:hAnsi="楷体" w:eastAsia="楷体" w:cs="楷体"/>
                <w:i w:val="0"/>
                <w:iCs w:val="0"/>
                <w:color w:val="auto"/>
                <w:kern w:val="0"/>
                <w:sz w:val="24"/>
                <w:szCs w:val="24"/>
                <w:u w:val="none"/>
                <w:lang w:val="en-US" w:eastAsia="zh-CN" w:bidi="ar"/>
              </w:rPr>
              <w:t>7</w:t>
            </w:r>
          </w:p>
        </w:tc>
        <w:tc>
          <w:tcPr>
            <w:tcW w:w="1006" w:type="dxa"/>
            <w:shd w:val="clear" w:color="auto" w:fill="auto"/>
            <w:noWrap w:val="0"/>
            <w:vAlign w:val="center"/>
          </w:tcPr>
          <w:p w14:paraId="43E012B2">
            <w:pPr>
              <w:pStyle w:val="9"/>
              <w:ind w:left="0" w:leftChars="0" w:firstLine="0" w:firstLineChars="0"/>
              <w:jc w:val="center"/>
              <w:rPr>
                <w:rFonts w:hint="eastAsia" w:ascii="楷体" w:hAnsi="楷体" w:eastAsia="楷体" w:cs="楷体"/>
                <w:i w:val="0"/>
                <w:iCs w:val="0"/>
                <w:color w:val="auto"/>
                <w:kern w:val="0"/>
                <w:sz w:val="24"/>
                <w:szCs w:val="24"/>
                <w:u w:val="none"/>
                <w:lang w:val="en-US" w:eastAsia="zh-CN" w:bidi="ar"/>
              </w:rPr>
            </w:pPr>
            <w:r>
              <w:rPr>
                <w:rFonts w:hint="eastAsia" w:ascii="楷体" w:hAnsi="楷体" w:eastAsia="楷体" w:cs="楷体"/>
                <w:i w:val="0"/>
                <w:iCs w:val="0"/>
                <w:color w:val="auto"/>
                <w:kern w:val="0"/>
                <w:sz w:val="24"/>
                <w:szCs w:val="24"/>
                <w:u w:val="none"/>
                <w:lang w:val="en-US" w:eastAsia="zh-CN" w:bidi="ar"/>
              </w:rPr>
              <w:t>应急保障措施</w:t>
            </w:r>
          </w:p>
        </w:tc>
        <w:tc>
          <w:tcPr>
            <w:tcW w:w="600" w:type="dxa"/>
            <w:shd w:val="clear" w:color="auto" w:fill="auto"/>
            <w:noWrap w:val="0"/>
            <w:vAlign w:val="center"/>
          </w:tcPr>
          <w:p w14:paraId="7D8D2ED8">
            <w:pPr>
              <w:pStyle w:val="9"/>
              <w:ind w:left="0" w:leftChars="0" w:firstLine="0" w:firstLineChars="0"/>
              <w:jc w:val="center"/>
              <w:rPr>
                <w:rFonts w:hint="default" w:ascii="楷体" w:hAnsi="楷体" w:eastAsia="楷体" w:cs="楷体"/>
                <w:i w:val="0"/>
                <w:iCs w:val="0"/>
                <w:color w:val="auto"/>
                <w:kern w:val="0"/>
                <w:sz w:val="24"/>
                <w:szCs w:val="24"/>
                <w:u w:val="none"/>
                <w:lang w:val="en-US" w:eastAsia="zh-CN" w:bidi="ar"/>
              </w:rPr>
            </w:pPr>
            <w:r>
              <w:rPr>
                <w:rFonts w:hint="eastAsia" w:ascii="楷体" w:hAnsi="楷体" w:eastAsia="楷体" w:cs="楷体"/>
                <w:i w:val="0"/>
                <w:iCs w:val="0"/>
                <w:color w:val="auto"/>
                <w:kern w:val="0"/>
                <w:sz w:val="24"/>
                <w:szCs w:val="24"/>
                <w:u w:val="none"/>
                <w:lang w:val="en-US" w:eastAsia="zh-CN" w:bidi="ar"/>
              </w:rPr>
              <w:t>10</w:t>
            </w:r>
          </w:p>
        </w:tc>
        <w:tc>
          <w:tcPr>
            <w:tcW w:w="7350" w:type="dxa"/>
            <w:shd w:val="clear" w:color="auto" w:fill="auto"/>
            <w:noWrap w:val="0"/>
            <w:vAlign w:val="center"/>
          </w:tcPr>
          <w:p w14:paraId="16984A00">
            <w:pPr>
              <w:pStyle w:val="9"/>
              <w:numPr>
                <w:ilvl w:val="0"/>
                <w:numId w:val="0"/>
              </w:numPr>
              <w:ind w:leftChars="0"/>
              <w:jc w:val="left"/>
              <w:rPr>
                <w:rFonts w:hint="eastAsia" w:ascii="楷体" w:hAnsi="楷体" w:eastAsia="楷体" w:cs="楷体"/>
                <w:i w:val="0"/>
                <w:iCs w:val="0"/>
                <w:color w:val="auto"/>
                <w:kern w:val="0"/>
                <w:sz w:val="24"/>
                <w:szCs w:val="24"/>
                <w:u w:val="none"/>
                <w:lang w:val="en-US" w:eastAsia="zh-CN" w:bidi="ar"/>
              </w:rPr>
            </w:pPr>
            <w:r>
              <w:rPr>
                <w:rFonts w:hint="eastAsia" w:ascii="楷体" w:hAnsi="楷体" w:eastAsia="楷体" w:cs="楷体"/>
                <w:i w:val="0"/>
                <w:iCs w:val="0"/>
                <w:color w:val="auto"/>
                <w:kern w:val="0"/>
                <w:sz w:val="24"/>
                <w:szCs w:val="24"/>
                <w:u w:val="none"/>
                <w:lang w:val="en-US" w:eastAsia="zh-CN" w:bidi="ar"/>
              </w:rPr>
              <w:t>对人员突发、菜品延误等有具体可操作的应急预案，得10分；有预案但不够具体得2-4分；无预案得0分。</w:t>
            </w:r>
          </w:p>
        </w:tc>
      </w:tr>
      <w:tr w14:paraId="009E4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trPr>
        <w:tc>
          <w:tcPr>
            <w:tcW w:w="795" w:type="dxa"/>
            <w:noWrap w:val="0"/>
            <w:vAlign w:val="center"/>
          </w:tcPr>
          <w:p w14:paraId="14EC9982">
            <w:pPr>
              <w:pStyle w:val="9"/>
              <w:ind w:left="0" w:leftChars="0" w:firstLine="0" w:firstLineChars="0"/>
              <w:jc w:val="center"/>
              <w:rPr>
                <w:rFonts w:hint="default" w:ascii="楷体" w:hAnsi="楷体" w:eastAsia="楷体" w:cs="楷体"/>
                <w:i w:val="0"/>
                <w:iCs w:val="0"/>
                <w:color w:val="auto"/>
                <w:kern w:val="0"/>
                <w:sz w:val="24"/>
                <w:szCs w:val="24"/>
                <w:u w:val="none"/>
                <w:lang w:val="en-US" w:eastAsia="zh-CN" w:bidi="ar"/>
              </w:rPr>
            </w:pPr>
            <w:r>
              <w:rPr>
                <w:rFonts w:hint="eastAsia" w:ascii="楷体" w:hAnsi="楷体" w:eastAsia="楷体" w:cs="楷体"/>
                <w:i w:val="0"/>
                <w:iCs w:val="0"/>
                <w:color w:val="auto"/>
                <w:kern w:val="0"/>
                <w:sz w:val="24"/>
                <w:szCs w:val="24"/>
                <w:u w:val="none"/>
                <w:lang w:val="en-US" w:eastAsia="zh-CN" w:bidi="ar"/>
              </w:rPr>
              <w:t>8</w:t>
            </w:r>
          </w:p>
        </w:tc>
        <w:tc>
          <w:tcPr>
            <w:tcW w:w="1006" w:type="dxa"/>
            <w:shd w:val="clear" w:color="auto" w:fill="auto"/>
            <w:noWrap w:val="0"/>
            <w:vAlign w:val="center"/>
          </w:tcPr>
          <w:p w14:paraId="431A165E">
            <w:pPr>
              <w:pStyle w:val="9"/>
              <w:ind w:left="0" w:leftChars="0" w:firstLine="0" w:firstLineChars="0"/>
              <w:jc w:val="center"/>
              <w:rPr>
                <w:rFonts w:hint="eastAsia" w:ascii="楷体" w:hAnsi="楷体" w:eastAsia="楷体" w:cs="楷体"/>
                <w:i w:val="0"/>
                <w:iCs w:val="0"/>
                <w:color w:val="auto"/>
                <w:kern w:val="0"/>
                <w:sz w:val="24"/>
                <w:szCs w:val="24"/>
                <w:u w:val="none"/>
                <w:lang w:val="en-US" w:eastAsia="zh-CN" w:bidi="ar"/>
              </w:rPr>
            </w:pPr>
            <w:r>
              <w:rPr>
                <w:rFonts w:hint="eastAsia" w:ascii="楷体" w:hAnsi="楷体" w:eastAsia="楷体" w:cs="楷体"/>
                <w:i w:val="0"/>
                <w:iCs w:val="0"/>
                <w:color w:val="auto"/>
                <w:kern w:val="0"/>
                <w:sz w:val="24"/>
                <w:szCs w:val="24"/>
                <w:u w:val="none"/>
                <w:lang w:val="en-US" w:eastAsia="zh-CN" w:bidi="ar"/>
              </w:rPr>
              <w:t>营业执照及经营范围</w:t>
            </w:r>
          </w:p>
        </w:tc>
        <w:tc>
          <w:tcPr>
            <w:tcW w:w="600" w:type="dxa"/>
            <w:shd w:val="clear" w:color="auto" w:fill="auto"/>
            <w:noWrap w:val="0"/>
            <w:vAlign w:val="center"/>
          </w:tcPr>
          <w:p w14:paraId="6D23067E">
            <w:pPr>
              <w:pStyle w:val="9"/>
              <w:ind w:left="0" w:leftChars="0" w:firstLine="0" w:firstLineChars="0"/>
              <w:jc w:val="center"/>
              <w:rPr>
                <w:rFonts w:hint="default" w:ascii="楷体" w:hAnsi="楷体" w:eastAsia="楷体" w:cs="楷体"/>
                <w:i w:val="0"/>
                <w:iCs w:val="0"/>
                <w:color w:val="auto"/>
                <w:kern w:val="0"/>
                <w:sz w:val="24"/>
                <w:szCs w:val="24"/>
                <w:u w:val="none"/>
                <w:lang w:val="en-US" w:eastAsia="zh-CN" w:bidi="ar"/>
              </w:rPr>
            </w:pPr>
            <w:r>
              <w:rPr>
                <w:rFonts w:hint="eastAsia" w:ascii="楷体" w:hAnsi="楷体" w:eastAsia="楷体" w:cs="楷体"/>
                <w:i w:val="0"/>
                <w:iCs w:val="0"/>
                <w:color w:val="auto"/>
                <w:kern w:val="0"/>
                <w:sz w:val="24"/>
                <w:szCs w:val="24"/>
                <w:u w:val="none"/>
                <w:lang w:val="en-US" w:eastAsia="zh-CN" w:bidi="ar"/>
              </w:rPr>
              <w:t>10</w:t>
            </w:r>
          </w:p>
        </w:tc>
        <w:tc>
          <w:tcPr>
            <w:tcW w:w="7350" w:type="dxa"/>
            <w:shd w:val="clear" w:color="auto" w:fill="auto"/>
            <w:noWrap w:val="0"/>
            <w:vAlign w:val="center"/>
          </w:tcPr>
          <w:p w14:paraId="60E8FED7">
            <w:pPr>
              <w:pStyle w:val="9"/>
              <w:ind w:left="0" w:leftChars="0" w:firstLine="0" w:firstLineChars="0"/>
              <w:jc w:val="left"/>
              <w:rPr>
                <w:rFonts w:hint="eastAsia" w:ascii="楷体" w:hAnsi="楷体" w:eastAsia="楷体" w:cs="楷体"/>
                <w:i w:val="0"/>
                <w:iCs w:val="0"/>
                <w:color w:val="auto"/>
                <w:kern w:val="0"/>
                <w:sz w:val="24"/>
                <w:szCs w:val="24"/>
                <w:u w:val="none"/>
                <w:lang w:val="en-US" w:eastAsia="zh-CN" w:bidi="ar"/>
              </w:rPr>
            </w:pPr>
            <w:r>
              <w:rPr>
                <w:rFonts w:hint="eastAsia" w:ascii="楷体" w:hAnsi="楷体" w:eastAsia="楷体" w:cs="楷体"/>
                <w:i w:val="0"/>
                <w:iCs w:val="0"/>
                <w:color w:val="auto"/>
                <w:kern w:val="0"/>
                <w:sz w:val="24"/>
                <w:szCs w:val="24"/>
                <w:u w:val="none"/>
                <w:lang w:val="en-US" w:eastAsia="zh-CN" w:bidi="ar"/>
              </w:rPr>
              <w:t>以参与单位提供的资质证明文件为评比标准，营业执照、食品经营许可证、纳税证明、征信证明、从业人员健康证等材料齐全得20分，文件每缺一项扣2分。</w:t>
            </w:r>
          </w:p>
        </w:tc>
      </w:tr>
      <w:tr w14:paraId="1E8EE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trPr>
        <w:tc>
          <w:tcPr>
            <w:tcW w:w="795" w:type="dxa"/>
            <w:noWrap w:val="0"/>
            <w:vAlign w:val="center"/>
          </w:tcPr>
          <w:p w14:paraId="03DA1114">
            <w:pPr>
              <w:pStyle w:val="9"/>
              <w:ind w:left="0" w:leftChars="0" w:firstLine="0" w:firstLineChars="0"/>
              <w:jc w:val="center"/>
              <w:rPr>
                <w:rFonts w:hint="default" w:ascii="楷体" w:hAnsi="楷体" w:eastAsia="楷体" w:cs="楷体"/>
                <w:i w:val="0"/>
                <w:iCs w:val="0"/>
                <w:color w:val="auto"/>
                <w:kern w:val="0"/>
                <w:sz w:val="24"/>
                <w:szCs w:val="24"/>
                <w:u w:val="none"/>
                <w:lang w:val="en-US" w:eastAsia="zh-CN" w:bidi="ar"/>
              </w:rPr>
            </w:pPr>
            <w:r>
              <w:rPr>
                <w:rFonts w:hint="eastAsia" w:ascii="楷体" w:hAnsi="楷体" w:eastAsia="楷体" w:cs="楷体"/>
                <w:i w:val="0"/>
                <w:iCs w:val="0"/>
                <w:color w:val="auto"/>
                <w:kern w:val="0"/>
                <w:sz w:val="24"/>
                <w:szCs w:val="24"/>
                <w:u w:val="none"/>
                <w:lang w:val="en-US" w:eastAsia="zh-CN" w:bidi="ar"/>
              </w:rPr>
              <w:t>9</w:t>
            </w:r>
          </w:p>
        </w:tc>
        <w:tc>
          <w:tcPr>
            <w:tcW w:w="1006" w:type="dxa"/>
            <w:shd w:val="clear" w:color="auto" w:fill="auto"/>
            <w:noWrap w:val="0"/>
            <w:vAlign w:val="center"/>
          </w:tcPr>
          <w:p w14:paraId="18C101F2">
            <w:pPr>
              <w:pStyle w:val="9"/>
              <w:ind w:left="0" w:leftChars="0" w:firstLine="0" w:firstLineChars="0"/>
              <w:jc w:val="center"/>
              <w:rPr>
                <w:rFonts w:ascii="Segoe UI" w:hAnsi="Segoe UI" w:eastAsia="Segoe UI" w:cs="Segoe UI"/>
                <w:i w:val="0"/>
                <w:iCs w:val="0"/>
                <w:caps w:val="0"/>
                <w:color w:val="0F1115"/>
                <w:spacing w:val="0"/>
                <w:sz w:val="22"/>
                <w:szCs w:val="22"/>
                <w:shd w:val="clear" w:fill="FFFFFF"/>
              </w:rPr>
            </w:pPr>
          </w:p>
        </w:tc>
        <w:tc>
          <w:tcPr>
            <w:tcW w:w="600" w:type="dxa"/>
            <w:shd w:val="clear" w:color="auto" w:fill="auto"/>
            <w:noWrap w:val="0"/>
            <w:vAlign w:val="center"/>
          </w:tcPr>
          <w:p w14:paraId="54E977AF">
            <w:pPr>
              <w:pStyle w:val="9"/>
              <w:ind w:left="0" w:leftChars="0" w:firstLine="0" w:firstLineChars="0"/>
              <w:jc w:val="center"/>
              <w:rPr>
                <w:rFonts w:hint="eastAsia" w:ascii="楷体" w:hAnsi="楷体" w:eastAsia="楷体" w:cs="楷体"/>
                <w:i w:val="0"/>
                <w:iCs w:val="0"/>
                <w:color w:val="auto"/>
                <w:kern w:val="0"/>
                <w:sz w:val="24"/>
                <w:szCs w:val="24"/>
                <w:u w:val="none"/>
                <w:lang w:val="en-US" w:eastAsia="zh-CN" w:bidi="ar"/>
              </w:rPr>
            </w:pPr>
          </w:p>
        </w:tc>
        <w:tc>
          <w:tcPr>
            <w:tcW w:w="7350" w:type="dxa"/>
            <w:shd w:val="clear" w:color="auto" w:fill="auto"/>
            <w:noWrap w:val="0"/>
            <w:vAlign w:val="center"/>
          </w:tcPr>
          <w:p w14:paraId="0B6305BA">
            <w:pPr>
              <w:pStyle w:val="9"/>
              <w:ind w:left="0" w:leftChars="0" w:firstLine="0" w:firstLineChars="0"/>
              <w:jc w:val="left"/>
              <w:rPr>
                <w:rFonts w:hint="eastAsia" w:ascii="楷体" w:hAnsi="楷体" w:eastAsia="楷体" w:cs="楷体"/>
                <w:i w:val="0"/>
                <w:iCs w:val="0"/>
                <w:color w:val="auto"/>
                <w:kern w:val="0"/>
                <w:sz w:val="24"/>
                <w:szCs w:val="24"/>
                <w:u w:val="none"/>
                <w:lang w:val="en-US" w:eastAsia="zh-CN" w:bidi="ar"/>
              </w:rPr>
            </w:pPr>
            <w:r>
              <w:rPr>
                <w:rFonts w:hint="eastAsia" w:ascii="楷体" w:hAnsi="楷体" w:eastAsia="楷体" w:cs="楷体"/>
                <w:i w:val="0"/>
                <w:iCs w:val="0"/>
                <w:color w:val="auto"/>
                <w:kern w:val="0"/>
                <w:sz w:val="24"/>
                <w:szCs w:val="24"/>
                <w:u w:val="none"/>
                <w:lang w:val="en-US" w:eastAsia="zh-CN" w:bidi="ar"/>
              </w:rPr>
              <w:t>营业范围切合现场服务需求、无安全事故、无赔偿记录、征信良好酌情加1-2分。</w:t>
            </w:r>
          </w:p>
        </w:tc>
      </w:tr>
      <w:tr w14:paraId="28617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795" w:type="dxa"/>
            <w:noWrap w:val="0"/>
            <w:vAlign w:val="center"/>
          </w:tcPr>
          <w:p w14:paraId="7A78A55E">
            <w:pPr>
              <w:pStyle w:val="9"/>
              <w:ind w:left="0" w:leftChars="0" w:firstLine="0" w:firstLineChars="0"/>
              <w:jc w:val="center"/>
              <w:rPr>
                <w:rFonts w:hint="default" w:ascii="楷体" w:hAnsi="楷体" w:eastAsia="楷体" w:cs="楷体"/>
                <w:i w:val="0"/>
                <w:iCs w:val="0"/>
                <w:color w:val="auto"/>
                <w:kern w:val="0"/>
                <w:sz w:val="24"/>
                <w:szCs w:val="24"/>
                <w:u w:val="none"/>
                <w:lang w:val="en-US" w:eastAsia="zh-CN" w:bidi="ar"/>
              </w:rPr>
            </w:pPr>
          </w:p>
        </w:tc>
        <w:tc>
          <w:tcPr>
            <w:tcW w:w="1006" w:type="dxa"/>
            <w:noWrap w:val="0"/>
            <w:vAlign w:val="center"/>
          </w:tcPr>
          <w:p w14:paraId="10CC4A85">
            <w:pPr>
              <w:pStyle w:val="9"/>
              <w:ind w:left="0" w:leftChars="0" w:firstLine="0" w:firstLineChars="0"/>
              <w:jc w:val="center"/>
              <w:rPr>
                <w:rFonts w:hint="eastAsia" w:ascii="楷体" w:hAnsi="楷体" w:eastAsia="楷体" w:cs="楷体"/>
                <w:i w:val="0"/>
                <w:iCs w:val="0"/>
                <w:color w:val="auto"/>
                <w:kern w:val="0"/>
                <w:sz w:val="24"/>
                <w:szCs w:val="24"/>
                <w:u w:val="none"/>
                <w:lang w:val="en-US" w:eastAsia="zh-CN" w:bidi="ar"/>
              </w:rPr>
            </w:pPr>
            <w:r>
              <w:rPr>
                <w:rFonts w:hint="eastAsia" w:ascii="楷体" w:hAnsi="楷体" w:eastAsia="楷体" w:cs="楷体"/>
                <w:i w:val="0"/>
                <w:iCs w:val="0"/>
                <w:color w:val="auto"/>
                <w:kern w:val="0"/>
                <w:sz w:val="24"/>
                <w:szCs w:val="24"/>
                <w:u w:val="none"/>
                <w:lang w:val="en-US" w:eastAsia="zh-CN" w:bidi="ar"/>
              </w:rPr>
              <w:t>合计</w:t>
            </w:r>
          </w:p>
        </w:tc>
        <w:tc>
          <w:tcPr>
            <w:tcW w:w="600" w:type="dxa"/>
            <w:noWrap w:val="0"/>
            <w:vAlign w:val="center"/>
          </w:tcPr>
          <w:p w14:paraId="5D5FEDAA">
            <w:pPr>
              <w:pStyle w:val="9"/>
              <w:ind w:left="0" w:leftChars="0" w:firstLine="0" w:firstLineChars="0"/>
              <w:jc w:val="center"/>
              <w:rPr>
                <w:rFonts w:hint="default" w:ascii="楷体" w:hAnsi="楷体" w:eastAsia="楷体" w:cs="楷体"/>
                <w:i w:val="0"/>
                <w:iCs w:val="0"/>
                <w:color w:val="auto"/>
                <w:kern w:val="0"/>
                <w:sz w:val="24"/>
                <w:szCs w:val="24"/>
                <w:u w:val="none"/>
                <w:lang w:val="en-US" w:eastAsia="zh-CN" w:bidi="ar"/>
              </w:rPr>
            </w:pPr>
            <w:r>
              <w:rPr>
                <w:rFonts w:hint="eastAsia" w:ascii="楷体" w:hAnsi="楷体" w:eastAsia="楷体" w:cs="楷体"/>
                <w:i w:val="0"/>
                <w:iCs w:val="0"/>
                <w:color w:val="auto"/>
                <w:kern w:val="0"/>
                <w:sz w:val="24"/>
                <w:szCs w:val="24"/>
                <w:u w:val="none"/>
                <w:lang w:val="en-US" w:eastAsia="zh-CN" w:bidi="ar"/>
              </w:rPr>
              <w:t>100</w:t>
            </w:r>
          </w:p>
        </w:tc>
        <w:tc>
          <w:tcPr>
            <w:tcW w:w="7350" w:type="dxa"/>
            <w:noWrap w:val="0"/>
            <w:vAlign w:val="center"/>
          </w:tcPr>
          <w:p w14:paraId="3BC238D3">
            <w:pPr>
              <w:pStyle w:val="9"/>
              <w:ind w:left="0" w:leftChars="0" w:firstLine="0" w:firstLineChars="0"/>
              <w:jc w:val="center"/>
              <w:rPr>
                <w:rFonts w:hint="eastAsia" w:ascii="楷体" w:hAnsi="楷体" w:eastAsia="楷体" w:cs="楷体"/>
                <w:i w:val="0"/>
                <w:iCs w:val="0"/>
                <w:color w:val="auto"/>
                <w:kern w:val="0"/>
                <w:sz w:val="24"/>
                <w:szCs w:val="24"/>
                <w:u w:val="none"/>
                <w:lang w:val="en-US" w:eastAsia="zh-CN" w:bidi="ar"/>
              </w:rPr>
            </w:pPr>
          </w:p>
        </w:tc>
      </w:tr>
    </w:tbl>
    <w:p w14:paraId="757FB4B1">
      <w:pPr>
        <w:pStyle w:val="9"/>
        <w:ind w:left="0" w:leftChars="0" w:firstLine="0" w:firstLineChars="0"/>
        <w:rPr>
          <w:rFonts w:hint="eastAsia" w:ascii="仿宋" w:hAnsi="仿宋" w:eastAsia="仿宋" w:cs="仿宋"/>
          <w:sz w:val="24"/>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Segoe UI">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9B6F290"/>
    <w:multiLevelType w:val="singleLevel"/>
    <w:tmpl w:val="19B6F290"/>
    <w:lvl w:ilvl="0" w:tentative="0">
      <w:start w:val="1"/>
      <w:numFmt w:val="chineseCounting"/>
      <w:suff w:val="nothing"/>
      <w:lvlText w:val="%1、"/>
      <w:lvlJc w:val="left"/>
      <w:rPr>
        <w:rFonts w:hint="eastAsia"/>
      </w:rPr>
    </w:lvl>
  </w:abstractNum>
  <w:abstractNum w:abstractNumId="1">
    <w:nsid w:val="1E7A2EA2"/>
    <w:multiLevelType w:val="singleLevel"/>
    <w:tmpl w:val="1E7A2EA2"/>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Y5ZDE1YjhjOGJlZDA3NmU3ZTVlN2Y1Mzg3NjcyYzQifQ=="/>
  </w:docVars>
  <w:rsids>
    <w:rsidRoot w:val="7AAF2D79"/>
    <w:rsid w:val="005D1C63"/>
    <w:rsid w:val="017151B6"/>
    <w:rsid w:val="0179282C"/>
    <w:rsid w:val="01A1716C"/>
    <w:rsid w:val="03435F01"/>
    <w:rsid w:val="036D7940"/>
    <w:rsid w:val="073E237B"/>
    <w:rsid w:val="0852785C"/>
    <w:rsid w:val="08791EB3"/>
    <w:rsid w:val="0A8612FD"/>
    <w:rsid w:val="0BBB2471"/>
    <w:rsid w:val="0D574363"/>
    <w:rsid w:val="0E27137A"/>
    <w:rsid w:val="0E3E7468"/>
    <w:rsid w:val="0F560522"/>
    <w:rsid w:val="118232F4"/>
    <w:rsid w:val="119433AD"/>
    <w:rsid w:val="12243932"/>
    <w:rsid w:val="13FB0C28"/>
    <w:rsid w:val="1413669C"/>
    <w:rsid w:val="14385C7A"/>
    <w:rsid w:val="1475255D"/>
    <w:rsid w:val="155271E9"/>
    <w:rsid w:val="160408D7"/>
    <w:rsid w:val="160A5610"/>
    <w:rsid w:val="16335C26"/>
    <w:rsid w:val="164C47A3"/>
    <w:rsid w:val="17750C42"/>
    <w:rsid w:val="17B17E95"/>
    <w:rsid w:val="189712A8"/>
    <w:rsid w:val="193C7BF4"/>
    <w:rsid w:val="19457B5B"/>
    <w:rsid w:val="19874143"/>
    <w:rsid w:val="1A6C7833"/>
    <w:rsid w:val="1C4B0539"/>
    <w:rsid w:val="1E827782"/>
    <w:rsid w:val="1EB36E92"/>
    <w:rsid w:val="21243ED3"/>
    <w:rsid w:val="216B61E5"/>
    <w:rsid w:val="21BC5F1C"/>
    <w:rsid w:val="21DE53E2"/>
    <w:rsid w:val="22CC050B"/>
    <w:rsid w:val="232E56F6"/>
    <w:rsid w:val="259D7CE3"/>
    <w:rsid w:val="25F31BFD"/>
    <w:rsid w:val="26B67141"/>
    <w:rsid w:val="272B2054"/>
    <w:rsid w:val="27CB32C1"/>
    <w:rsid w:val="27DA0237"/>
    <w:rsid w:val="289A0550"/>
    <w:rsid w:val="28B01B1B"/>
    <w:rsid w:val="2911509E"/>
    <w:rsid w:val="2BB77A53"/>
    <w:rsid w:val="2C2816B5"/>
    <w:rsid w:val="2CEB3365"/>
    <w:rsid w:val="2D3C2017"/>
    <w:rsid w:val="2DB32E3C"/>
    <w:rsid w:val="2FB55C97"/>
    <w:rsid w:val="2FD233D9"/>
    <w:rsid w:val="30377750"/>
    <w:rsid w:val="31E814F0"/>
    <w:rsid w:val="32E80161"/>
    <w:rsid w:val="341E5171"/>
    <w:rsid w:val="34F31B7A"/>
    <w:rsid w:val="36FA000E"/>
    <w:rsid w:val="386860E2"/>
    <w:rsid w:val="38986313"/>
    <w:rsid w:val="38A83A80"/>
    <w:rsid w:val="3B432363"/>
    <w:rsid w:val="3BB92288"/>
    <w:rsid w:val="3BE35310"/>
    <w:rsid w:val="3BE63799"/>
    <w:rsid w:val="3BFD4D40"/>
    <w:rsid w:val="3C353678"/>
    <w:rsid w:val="3CE1135C"/>
    <w:rsid w:val="3D7541DF"/>
    <w:rsid w:val="3EDC2955"/>
    <w:rsid w:val="405B41FF"/>
    <w:rsid w:val="45084A2A"/>
    <w:rsid w:val="45436FCB"/>
    <w:rsid w:val="45FF2A82"/>
    <w:rsid w:val="4718740E"/>
    <w:rsid w:val="48796F2B"/>
    <w:rsid w:val="49157B29"/>
    <w:rsid w:val="49F57186"/>
    <w:rsid w:val="4ADF4EA3"/>
    <w:rsid w:val="4B7C5F5B"/>
    <w:rsid w:val="4C31205B"/>
    <w:rsid w:val="4C590A63"/>
    <w:rsid w:val="4DE04E8C"/>
    <w:rsid w:val="4E2B176A"/>
    <w:rsid w:val="4EAE7519"/>
    <w:rsid w:val="4F5E5174"/>
    <w:rsid w:val="4FD26BD3"/>
    <w:rsid w:val="502F330A"/>
    <w:rsid w:val="507D70FE"/>
    <w:rsid w:val="51C668F3"/>
    <w:rsid w:val="51CB1187"/>
    <w:rsid w:val="523F6B14"/>
    <w:rsid w:val="535722C9"/>
    <w:rsid w:val="541336C2"/>
    <w:rsid w:val="54784416"/>
    <w:rsid w:val="54E879C4"/>
    <w:rsid w:val="558F4063"/>
    <w:rsid w:val="574A47FC"/>
    <w:rsid w:val="57AE3E81"/>
    <w:rsid w:val="58DE20E2"/>
    <w:rsid w:val="5B94004E"/>
    <w:rsid w:val="5C2F74F7"/>
    <w:rsid w:val="5CB23F1F"/>
    <w:rsid w:val="5D3837A4"/>
    <w:rsid w:val="60755E5E"/>
    <w:rsid w:val="607E52A1"/>
    <w:rsid w:val="607F441E"/>
    <w:rsid w:val="614C0538"/>
    <w:rsid w:val="619A1CC6"/>
    <w:rsid w:val="61FC4B9F"/>
    <w:rsid w:val="62EF34BE"/>
    <w:rsid w:val="62FF4D6E"/>
    <w:rsid w:val="64614E95"/>
    <w:rsid w:val="64DA7648"/>
    <w:rsid w:val="660F274E"/>
    <w:rsid w:val="67073673"/>
    <w:rsid w:val="679308EB"/>
    <w:rsid w:val="691E2BBA"/>
    <w:rsid w:val="6A123D2A"/>
    <w:rsid w:val="6AC36D88"/>
    <w:rsid w:val="6C472CF7"/>
    <w:rsid w:val="6CE4448D"/>
    <w:rsid w:val="6CEE7919"/>
    <w:rsid w:val="6DC234FE"/>
    <w:rsid w:val="6E297177"/>
    <w:rsid w:val="6FCA617B"/>
    <w:rsid w:val="70971DF5"/>
    <w:rsid w:val="70DB2CE6"/>
    <w:rsid w:val="70EF2512"/>
    <w:rsid w:val="72D60AF4"/>
    <w:rsid w:val="72E862CC"/>
    <w:rsid w:val="731F7F23"/>
    <w:rsid w:val="75071E5D"/>
    <w:rsid w:val="75314659"/>
    <w:rsid w:val="75745932"/>
    <w:rsid w:val="75867E79"/>
    <w:rsid w:val="7A143391"/>
    <w:rsid w:val="7AAF2D79"/>
    <w:rsid w:val="7AE76698"/>
    <w:rsid w:val="7DAF26CD"/>
    <w:rsid w:val="7DBB1A64"/>
    <w:rsid w:val="7F556480"/>
    <w:rsid w:val="7F8E35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customStyle="1" w:styleId="2">
    <w:name w:val="BodyText1I"/>
    <w:basedOn w:val="3"/>
    <w:autoRedefine/>
    <w:qFormat/>
    <w:uiPriority w:val="0"/>
    <w:pPr>
      <w:spacing w:after="120"/>
      <w:ind w:firstLine="420"/>
    </w:pPr>
    <w:rPr>
      <w:rFonts w:ascii="Calibri" w:hAnsi="Calibri" w:eastAsia="宋体" w:cs="Times New Roman"/>
      <w:szCs w:val="20"/>
    </w:rPr>
  </w:style>
  <w:style w:type="paragraph" w:customStyle="1" w:styleId="3">
    <w:name w:val="BodyText"/>
    <w:basedOn w:val="1"/>
    <w:autoRedefine/>
    <w:qFormat/>
    <w:uiPriority w:val="0"/>
    <w:pPr>
      <w:spacing w:after="120"/>
    </w:pPr>
    <w:rPr>
      <w:szCs w:val="20"/>
    </w:rPr>
  </w:style>
  <w:style w:type="paragraph" w:styleId="4">
    <w:name w:val="Body Text"/>
    <w:basedOn w:val="1"/>
    <w:qFormat/>
    <w:uiPriority w:val="0"/>
    <w:pPr>
      <w:spacing w:after="120"/>
    </w:pPr>
    <w:rPr>
      <w:rFonts w:ascii="Times New Roman" w:hAnsi="Times New Roman" w:eastAsia="宋体" w:cs="Times New Roman"/>
    </w:rPr>
  </w:style>
  <w:style w:type="paragraph" w:styleId="5">
    <w:name w:val="Body Text Indent"/>
    <w:basedOn w:val="1"/>
    <w:unhideWhenUsed/>
    <w:qFormat/>
    <w:uiPriority w:val="99"/>
    <w:pPr>
      <w:spacing w:after="120"/>
      <w:ind w:left="420" w:leftChars="200"/>
    </w:pPr>
  </w:style>
  <w:style w:type="paragraph" w:styleId="6">
    <w:name w:val="Body Text Indent 2"/>
    <w:basedOn w:val="1"/>
    <w:qFormat/>
    <w:uiPriority w:val="0"/>
    <w:pPr>
      <w:ind w:firstLine="585"/>
    </w:pPr>
    <w:rPr>
      <w:rFonts w:ascii="宋体"/>
      <w:sz w:val="28"/>
      <w:szCs w:val="24"/>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Body Text First Indent 2"/>
    <w:basedOn w:val="5"/>
    <w:qFormat/>
    <w:uiPriority w:val="99"/>
    <w:pPr>
      <w:ind w:firstLine="420" w:firstLineChars="200"/>
    </w:p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Hyperlink"/>
    <w:basedOn w:val="12"/>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AEACE"/>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1122</Words>
  <Characters>1213</Characters>
  <Lines>0</Lines>
  <Paragraphs>0</Paragraphs>
  <TotalTime>15</TotalTime>
  <ScaleCrop>false</ScaleCrop>
  <LinksUpToDate>false</LinksUpToDate>
  <CharactersWithSpaces>1216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2022-01-04T02:46:00Z</dcterms:created>
  <dc:creator>山东国际会展集团</dc:creator>
  <cp:lastModifiedBy>961717</cp:lastModifiedBy>
  <cp:lastPrinted>2026-10-08T09:13:00Z</cp:lastPrinted>
  <dcterms:modified xsi:type="dcterms:W3CDTF">2026-10-09T01:32:05Z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5DEA1D249F824B2597CA47E5E7EE87F9</vt:lpwstr>
  </property>
  <property fmtid="{D5CDD505-2E9C-101B-9397-08002B2CF9AE}" pid="4" name="KSOTemplateDocerSaveRecord">
    <vt:lpwstr>eyJoZGlkIjoiMjVkN2I2NmE4NzY4M2FjNmNhYTMzMTgzZmQxZTg1MmYiLCJ1c2VySWQiOiI0NTM5NDk5OTcifQ==</vt:lpwstr>
  </property>
</Properties>
</file>